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79ED0" w14:textId="74D1A0E3" w:rsidR="00237DC5" w:rsidRPr="0016556D" w:rsidRDefault="00237DC5" w:rsidP="00237DC5">
      <w:pPr>
        <w:pStyle w:val="3GPPHeader"/>
        <w:spacing w:after="60"/>
        <w:rPr>
          <w:sz w:val="32"/>
          <w:szCs w:val="32"/>
          <w:lang w:val="en-US"/>
        </w:rPr>
      </w:pPr>
      <w:r w:rsidRPr="000404EF">
        <w:rPr>
          <w:lang w:val="en-US"/>
        </w:rPr>
        <w:t xml:space="preserve">3GPP TSG-RAN WG2 </w:t>
      </w:r>
      <w:r>
        <w:rPr>
          <w:lang w:val="en-US"/>
        </w:rPr>
        <w:t>NR Ad Hoc</w:t>
      </w:r>
      <w:r w:rsidRPr="000404EF">
        <w:rPr>
          <w:lang w:val="en-US"/>
        </w:rPr>
        <w:tab/>
      </w:r>
      <w:r w:rsidRPr="0016556D">
        <w:rPr>
          <w:sz w:val="32"/>
          <w:szCs w:val="32"/>
          <w:lang w:val="en-US"/>
        </w:rPr>
        <w:t xml:space="preserve">Tdoc </w:t>
      </w:r>
      <w:r w:rsidRPr="0016556D">
        <w:rPr>
          <w:bCs/>
          <w:sz w:val="32"/>
          <w:szCs w:val="32"/>
        </w:rPr>
        <w:t>R2-17</w:t>
      </w:r>
      <w:r w:rsidR="00D2289A" w:rsidRPr="0016556D">
        <w:rPr>
          <w:bCs/>
          <w:sz w:val="32"/>
          <w:szCs w:val="32"/>
        </w:rPr>
        <w:t>00412</w:t>
      </w:r>
    </w:p>
    <w:p w14:paraId="04F46CC1" w14:textId="77777777" w:rsidR="00237DC5" w:rsidRDefault="00237DC5" w:rsidP="00237DC5">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2FFCDDC3" w14:textId="77777777" w:rsidR="00237DC5" w:rsidRPr="00CE0424" w:rsidRDefault="00237DC5" w:rsidP="00237DC5">
      <w:pPr>
        <w:pStyle w:val="3GPPHeader"/>
      </w:pPr>
    </w:p>
    <w:p w14:paraId="12D45DC8" w14:textId="1AD16B65" w:rsidR="00237DC5" w:rsidRPr="00863713" w:rsidRDefault="00237DC5" w:rsidP="00237DC5">
      <w:pPr>
        <w:pStyle w:val="3GPPHeader"/>
        <w:rPr>
          <w:sz w:val="22"/>
          <w:szCs w:val="22"/>
          <w:lang w:val="en-US"/>
        </w:rPr>
      </w:pPr>
      <w:r w:rsidRPr="00863713">
        <w:rPr>
          <w:sz w:val="22"/>
          <w:szCs w:val="22"/>
          <w:lang w:val="en-US"/>
        </w:rPr>
        <w:t>Agenda Ite</w:t>
      </w:r>
      <w:r w:rsidRPr="00D2289A">
        <w:rPr>
          <w:sz w:val="22"/>
          <w:szCs w:val="22"/>
          <w:lang w:val="en-US"/>
        </w:rPr>
        <w:t>m:</w:t>
      </w:r>
      <w:r w:rsidRPr="00D2289A">
        <w:rPr>
          <w:sz w:val="22"/>
          <w:szCs w:val="22"/>
          <w:lang w:val="en-US"/>
        </w:rPr>
        <w:tab/>
      </w:r>
      <w:r w:rsidR="00D55155" w:rsidRPr="00D2289A">
        <w:rPr>
          <w:sz w:val="22"/>
          <w:szCs w:val="22"/>
          <w:lang w:val="en-US"/>
        </w:rPr>
        <w:t>3.2.1.4</w:t>
      </w:r>
    </w:p>
    <w:p w14:paraId="781E7042" w14:textId="77777777" w:rsidR="00237DC5" w:rsidRPr="00CE0424" w:rsidRDefault="00237DC5" w:rsidP="00237DC5">
      <w:pPr>
        <w:pStyle w:val="3GPPHeader"/>
        <w:rPr>
          <w:sz w:val="22"/>
          <w:szCs w:val="22"/>
        </w:rPr>
      </w:pPr>
      <w:r>
        <w:rPr>
          <w:sz w:val="22"/>
          <w:szCs w:val="22"/>
        </w:rPr>
        <w:t>Source:</w:t>
      </w:r>
      <w:r w:rsidRPr="00CE0424">
        <w:rPr>
          <w:sz w:val="22"/>
          <w:szCs w:val="22"/>
        </w:rPr>
        <w:tab/>
        <w:t>Ericsson</w:t>
      </w:r>
    </w:p>
    <w:p w14:paraId="648A9069" w14:textId="60A2859D" w:rsidR="00E90E49" w:rsidRPr="00CE0424" w:rsidRDefault="00237DC5" w:rsidP="00311702">
      <w:pPr>
        <w:pStyle w:val="3GPPHeader"/>
        <w:rPr>
          <w:sz w:val="22"/>
          <w:szCs w:val="22"/>
        </w:rPr>
      </w:pPr>
      <w:r>
        <w:rPr>
          <w:sz w:val="22"/>
          <w:szCs w:val="22"/>
        </w:rPr>
        <w:t>Title:</w:t>
      </w:r>
      <w:r w:rsidR="00E90E49" w:rsidRPr="00CE0424">
        <w:rPr>
          <w:sz w:val="22"/>
          <w:szCs w:val="22"/>
        </w:rPr>
        <w:tab/>
      </w:r>
      <w:r w:rsidR="00507AE3">
        <w:rPr>
          <w:sz w:val="22"/>
          <w:szCs w:val="22"/>
        </w:rPr>
        <w:t>Random Access enhancements</w:t>
      </w:r>
    </w:p>
    <w:p w14:paraId="32D2FCFD" w14:textId="77777777" w:rsidR="00E90E49" w:rsidRDefault="00E90E49" w:rsidP="00D546FF">
      <w:pPr>
        <w:pStyle w:val="3GPPHeader"/>
        <w:rPr>
          <w:sz w:val="22"/>
          <w:szCs w:val="22"/>
        </w:rPr>
      </w:pPr>
      <w:r w:rsidRPr="000E367B">
        <w:rPr>
          <w:sz w:val="22"/>
          <w:szCs w:val="22"/>
        </w:rPr>
        <w:t>Document for:</w:t>
      </w:r>
      <w:r w:rsidRPr="000E367B">
        <w:rPr>
          <w:sz w:val="22"/>
          <w:szCs w:val="22"/>
        </w:rPr>
        <w:tab/>
        <w:t>Discussion, Decision</w:t>
      </w:r>
    </w:p>
    <w:p w14:paraId="63403E84" w14:textId="77777777" w:rsidR="009B0CB5" w:rsidRPr="00CE0424" w:rsidRDefault="009B0CB5" w:rsidP="00D546FF">
      <w:pPr>
        <w:pStyle w:val="3GPPHeader"/>
        <w:rPr>
          <w:sz w:val="22"/>
          <w:szCs w:val="22"/>
        </w:rPr>
      </w:pPr>
    </w:p>
    <w:p w14:paraId="32AB282B" w14:textId="77777777" w:rsidR="00E90E49" w:rsidRDefault="00E90E49" w:rsidP="00CE0424">
      <w:pPr>
        <w:pStyle w:val="Heading1"/>
      </w:pPr>
      <w:r w:rsidRPr="00CE0424">
        <w:t>Introduction</w:t>
      </w:r>
    </w:p>
    <w:p w14:paraId="6B30C7C5" w14:textId="77777777" w:rsidR="00E23A08" w:rsidRDefault="00E23A08" w:rsidP="00407AC6">
      <w:r>
        <w:t>I</w:t>
      </w:r>
      <w:r w:rsidR="00407AC6">
        <w:t xml:space="preserve">n </w:t>
      </w:r>
      <w:r>
        <w:t>the agreements</w:t>
      </w:r>
      <w:r w:rsidR="00407AC6">
        <w:t xml:space="preserve"> of R</w:t>
      </w:r>
      <w:r w:rsidR="00B5677F">
        <w:t>AN</w:t>
      </w:r>
      <w:r>
        <w:t>2</w:t>
      </w:r>
      <w:r w:rsidR="00B5677F">
        <w:t>#</w:t>
      </w:r>
      <w:r>
        <w:t>96</w:t>
      </w:r>
      <w:r w:rsidR="00407AC6">
        <w:t xml:space="preserve">, </w:t>
      </w:r>
      <w:r>
        <w:t>some particular issues were</w:t>
      </w:r>
      <w:r w:rsidR="00DC0BCD">
        <w:t xml:space="preserve"> </w:t>
      </w:r>
      <w:r>
        <w:t>identified which require additional analysis in order to progress the standardization. Regarding Random access, the following FFS was agreed at RAN2#96</w:t>
      </w:r>
    </w:p>
    <w:p w14:paraId="496CBBB7" w14:textId="77777777" w:rsidR="00E23A08" w:rsidRDefault="00E23A08" w:rsidP="00E23A08">
      <w:pPr>
        <w:pStyle w:val="Doc-text2"/>
      </w:pPr>
    </w:p>
    <w:p w14:paraId="6B6A2BBA" w14:textId="77777777" w:rsidR="00E23A08" w:rsidRDefault="00E23A08" w:rsidP="00E23A08">
      <w:pPr>
        <w:pStyle w:val="Doc-text2"/>
        <w:pBdr>
          <w:top w:val="single" w:sz="4" w:space="1" w:color="auto"/>
          <w:left w:val="single" w:sz="4" w:space="4" w:color="auto"/>
          <w:bottom w:val="single" w:sz="4" w:space="1" w:color="auto"/>
          <w:right w:val="single" w:sz="4" w:space="4" w:color="auto"/>
        </w:pBdr>
      </w:pPr>
      <w:r>
        <w:t>Agreements</w:t>
      </w:r>
    </w:p>
    <w:p w14:paraId="631C6D03" w14:textId="77777777" w:rsidR="00E23A08" w:rsidRDefault="00E23A08" w:rsidP="00E23A08">
      <w:pPr>
        <w:pStyle w:val="Doc-text2"/>
        <w:pBdr>
          <w:top w:val="single" w:sz="4" w:space="1" w:color="auto"/>
          <w:left w:val="single" w:sz="4" w:space="4" w:color="auto"/>
          <w:bottom w:val="single" w:sz="4" w:space="1" w:color="auto"/>
          <w:right w:val="single" w:sz="4" w:space="4" w:color="auto"/>
        </w:pBdr>
      </w:pPr>
      <w:r>
        <w:t xml:space="preserve">1 </w:t>
      </w:r>
      <w:r>
        <w:tab/>
        <w:t xml:space="preserve">The design of RA procedure in NR needs to support flexible Msg3 size (as already supported in LTE). </w:t>
      </w:r>
    </w:p>
    <w:p w14:paraId="548F0267" w14:textId="77777777" w:rsidR="00E23A08" w:rsidRDefault="00E23A08" w:rsidP="00E23A08">
      <w:pPr>
        <w:pStyle w:val="Doc-text2"/>
        <w:pBdr>
          <w:top w:val="single" w:sz="4" w:space="1" w:color="auto"/>
          <w:left w:val="single" w:sz="4" w:space="4" w:color="auto"/>
          <w:bottom w:val="single" w:sz="4" w:space="1" w:color="auto"/>
          <w:right w:val="single" w:sz="4" w:space="4" w:color="auto"/>
        </w:pBdr>
      </w:pPr>
      <w:r>
        <w:t>FFS whether the eNB can be provided with more information (compared to LTE) from the UE on the Msg 3 size to provide.</w:t>
      </w:r>
    </w:p>
    <w:p w14:paraId="0D5BFBFE" w14:textId="77777777" w:rsidR="00E23A08" w:rsidRDefault="00E23A08" w:rsidP="00E23A08">
      <w:pPr>
        <w:pStyle w:val="Doc-text2"/>
      </w:pPr>
    </w:p>
    <w:p w14:paraId="0300783A" w14:textId="77777777" w:rsidR="001643A8" w:rsidRDefault="004000E8" w:rsidP="00CE0424">
      <w:pPr>
        <w:pStyle w:val="Heading1"/>
      </w:pPr>
      <w:bookmarkStart w:id="0" w:name="_Ref178064866"/>
      <w:r w:rsidRPr="00CE0424">
        <w:t>Discussion</w:t>
      </w:r>
      <w:bookmarkEnd w:id="0"/>
    </w:p>
    <w:p w14:paraId="408BF82F" w14:textId="5FB6C3EC" w:rsidR="00061A3D" w:rsidRDefault="00B026E4" w:rsidP="00061A3D">
      <w:r>
        <w:t xml:space="preserve">The </w:t>
      </w:r>
      <w:r w:rsidR="00DC0BCD">
        <w:t xml:space="preserve">ordinary </w:t>
      </w:r>
      <w:r>
        <w:t>f</w:t>
      </w:r>
      <w:r w:rsidR="00AB3C7B">
        <w:t>our step</w:t>
      </w:r>
      <w:r w:rsidR="00605F6D">
        <w:t xml:space="preserve"> </w:t>
      </w:r>
      <w:r w:rsidR="00193249">
        <w:t>Random Access (</w:t>
      </w:r>
      <w:r w:rsidR="00605F6D">
        <w:t>RA</w:t>
      </w:r>
      <w:r w:rsidR="00193249">
        <w:t>) procedure</w:t>
      </w:r>
      <w:r w:rsidR="00AB3C7B">
        <w:t xml:space="preserve"> has been the current standard for </w:t>
      </w:r>
      <w:r>
        <w:t>legacy systems such as LTE</w:t>
      </w:r>
      <w:r w:rsidR="00AB3C7B">
        <w:t>.</w:t>
      </w:r>
      <w:r w:rsidR="00A641A6">
        <w:t xml:space="preserve"> It has been proposed to study a </w:t>
      </w:r>
      <w:r w:rsidR="000409E0">
        <w:t>two</w:t>
      </w:r>
      <w:r w:rsidR="00F32144">
        <w:t>-</w:t>
      </w:r>
      <w:r w:rsidR="00A641A6">
        <w:t>step procedure where the UL messages are sent simultaneously and similarly the two DL messages are sent as a simultaneous response in the DL.</w:t>
      </w:r>
      <w:r w:rsidR="00AB3C7B">
        <w:t xml:space="preserve"> </w:t>
      </w:r>
      <w:r w:rsidR="00A641A6">
        <w:t xml:space="preserve">In the legacy </w:t>
      </w:r>
      <w:r w:rsidR="00863713">
        <w:t>four-</w:t>
      </w:r>
      <w:r w:rsidR="00A641A6">
        <w:t>step</w:t>
      </w:r>
      <w:r w:rsidR="00AB3C7B">
        <w:t xml:space="preserve"> procedure, one of the main usage of the first two messages is to </w:t>
      </w:r>
      <w:r w:rsidR="00DC0BCD">
        <w:t xml:space="preserve">obtain </w:t>
      </w:r>
      <w:r w:rsidR="00AB3C7B">
        <w:t>UL time alignment</w:t>
      </w:r>
      <w:r w:rsidR="008F432B">
        <w:t xml:space="preserve"> (TA)</w:t>
      </w:r>
      <w:r w:rsidR="00AB3C7B">
        <w:t xml:space="preserve"> for the UE</w:t>
      </w:r>
      <w:r w:rsidR="008F432B">
        <w:t xml:space="preserve"> which is needed in large cells to ensure that the UL transmissions from different UEs reach the gNB at the same time</w:t>
      </w:r>
      <w:r w:rsidR="00AB3C7B">
        <w:t>.</w:t>
      </w:r>
      <w:r w:rsidR="008F432B">
        <w:t xml:space="preserve"> With the two-step procedure, no adjustment of the TA is done which makes the procedure only feasible in small cells or in situations where the UE knows what TA to apply, for example if it is stationary and has saved its old TA value. Hence, for mobile UEs in large cells, the legacy </w:t>
      </w:r>
      <w:r w:rsidR="00863713">
        <w:t>four-</w:t>
      </w:r>
      <w:r w:rsidR="008F432B">
        <w:t>step RA will be needed also in NR.</w:t>
      </w:r>
      <w:r w:rsidR="00061A3D" w:rsidDel="00061A3D">
        <w:t xml:space="preserve"> </w:t>
      </w:r>
    </w:p>
    <w:p w14:paraId="66DE754D" w14:textId="1A8010CE" w:rsidR="00061A3D" w:rsidRPr="00A12A5D" w:rsidRDefault="00061A3D" w:rsidP="00A12A5D">
      <w:pPr>
        <w:pStyle w:val="Observation"/>
        <w:rPr>
          <w:rFonts w:eastAsiaTheme="minorEastAsia"/>
        </w:rPr>
      </w:pPr>
      <w:bookmarkStart w:id="1" w:name="_Toc471479123"/>
      <w:r w:rsidRPr="00A12A5D">
        <w:t>A two-step random access cannot be applied in all scenarios such as in large cells when UL TA is not known.</w:t>
      </w:r>
      <w:bookmarkEnd w:id="1"/>
    </w:p>
    <w:p w14:paraId="73E138E4" w14:textId="77777777" w:rsidR="00061A3D" w:rsidRDefault="00061A3D" w:rsidP="00E23A08"/>
    <w:p w14:paraId="580C172F" w14:textId="77777777" w:rsidR="00A57A41" w:rsidRPr="009839BF" w:rsidRDefault="00D93BF1" w:rsidP="00B5677F">
      <w:pPr>
        <w:pStyle w:val="Figure"/>
      </w:pPr>
      <w:r>
        <w:rPr>
          <w:noProof/>
          <w:lang w:val="sv-SE"/>
        </w:rPr>
        <w:lastRenderedPageBreak/>
        <w:drawing>
          <wp:inline distT="0" distB="0" distL="0" distR="0">
            <wp:extent cx="2534285" cy="276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34285" cy="2768600"/>
                    </a:xfrm>
                    <a:prstGeom prst="rect">
                      <a:avLst/>
                    </a:prstGeom>
                    <a:noFill/>
                  </pic:spPr>
                </pic:pic>
              </a:graphicData>
            </a:graphic>
          </wp:inline>
        </w:drawing>
      </w:r>
    </w:p>
    <w:p w14:paraId="1CFFC294" w14:textId="02A4045A" w:rsidR="007B6A6B" w:rsidRPr="00B5677F" w:rsidRDefault="007B6A6B" w:rsidP="00B5677F">
      <w:pPr>
        <w:pStyle w:val="Caption"/>
      </w:pPr>
      <w:bookmarkStart w:id="2" w:name="_Ref461452130"/>
      <w:r w:rsidRPr="00B5677F">
        <w:t xml:space="preserve">Figure </w:t>
      </w:r>
      <w:r w:rsidRPr="00B5677F">
        <w:fldChar w:fldCharType="begin"/>
      </w:r>
      <w:r w:rsidRPr="00B5677F">
        <w:instrText xml:space="preserve"> SEQ Figure \* ARABIC </w:instrText>
      </w:r>
      <w:r w:rsidRPr="00B5677F">
        <w:fldChar w:fldCharType="separate"/>
      </w:r>
      <w:r w:rsidR="00482361">
        <w:rPr>
          <w:noProof/>
        </w:rPr>
        <w:t>1</w:t>
      </w:r>
      <w:r w:rsidRPr="00B5677F">
        <w:fldChar w:fldCharType="end"/>
      </w:r>
      <w:bookmarkEnd w:id="2"/>
      <w:r w:rsidRPr="00B5677F">
        <w:t xml:space="preserve"> </w:t>
      </w:r>
      <w:r w:rsidR="00B5677F" w:rsidRPr="00B5677F">
        <w:t xml:space="preserve">– </w:t>
      </w:r>
      <w:r w:rsidRPr="00B5677F">
        <w:t xml:space="preserve">Illustration </w:t>
      </w:r>
      <w:r w:rsidR="00483B6D">
        <w:t xml:space="preserve">of </w:t>
      </w:r>
      <w:r w:rsidR="00863713">
        <w:t xml:space="preserve">four-step </w:t>
      </w:r>
      <w:r w:rsidR="00A57A41" w:rsidRPr="00B5677F">
        <w:t>Random access procedure</w:t>
      </w:r>
      <w:r w:rsidR="00B5677F">
        <w:t>.</w:t>
      </w:r>
    </w:p>
    <w:p w14:paraId="7B8CD009" w14:textId="52216228" w:rsidR="00CE0424" w:rsidRDefault="008F432B" w:rsidP="00863713">
      <w:pPr>
        <w:pStyle w:val="Heading2"/>
      </w:pPr>
      <w:r>
        <w:t>F</w:t>
      </w:r>
      <w:r w:rsidR="00762FEA">
        <w:t>lexible message 3 size</w:t>
      </w:r>
    </w:p>
    <w:p w14:paraId="34633E78" w14:textId="74F88686" w:rsidR="00E23A08" w:rsidRDefault="008F432B" w:rsidP="00801BF4">
      <w:r w:rsidRPr="00863713">
        <w:t>Support for flexible message 3 size in the RA procedure</w:t>
      </w:r>
      <w:r>
        <w:t xml:space="preserve"> </w:t>
      </w:r>
      <w:r w:rsidR="0047550F">
        <w:t xml:space="preserve">is advantageous in several situations. The size of </w:t>
      </w:r>
      <w:r w:rsidR="00C94B26">
        <w:t>message 3</w:t>
      </w:r>
      <w:r w:rsidR="0047550F">
        <w:t xml:space="preserve"> can vary for different reasons such as which UE identifier that is used. In RRC connected the C-RNTI is used while in RRC inactive an RRC context identifier is used. Furthermore, w</w:t>
      </w:r>
      <w:r w:rsidR="00E23A08" w:rsidRPr="008F432B">
        <w:t>hen</w:t>
      </w:r>
      <w:r w:rsidR="00E23A08">
        <w:t xml:space="preserve"> the UE is in RRC Inactive, work is ongoing to allow the UE to transmit data already in </w:t>
      </w:r>
      <w:r w:rsidR="00C94B26">
        <w:t xml:space="preserve">message </w:t>
      </w:r>
      <w:r w:rsidR="00E23A08">
        <w:t xml:space="preserve">3. </w:t>
      </w:r>
      <w:r w:rsidR="0047550F">
        <w:t xml:space="preserve">This means that the size of </w:t>
      </w:r>
      <w:r w:rsidR="00C94B26">
        <w:t>message 3</w:t>
      </w:r>
      <w:r w:rsidR="0047550F">
        <w:t xml:space="preserve"> can potentially be quite large. </w:t>
      </w:r>
      <w:r w:rsidR="00E23A08">
        <w:t xml:space="preserve">For efficiency reasons this requires that the UE has some way to inform </w:t>
      </w:r>
      <w:r w:rsidR="0047550F">
        <w:t xml:space="preserve">or indicate to </w:t>
      </w:r>
      <w:r w:rsidR="00E23A08">
        <w:t xml:space="preserve">the gNB </w:t>
      </w:r>
      <w:r w:rsidR="0047550F">
        <w:t>what size grant it wants</w:t>
      </w:r>
      <w:r w:rsidR="00E23A08">
        <w:t>.</w:t>
      </w:r>
      <w:r w:rsidR="00E06B76">
        <w:t xml:space="preserve"> Without </w:t>
      </w:r>
      <w:r w:rsidR="0047550F">
        <w:t xml:space="preserve">this </w:t>
      </w:r>
      <w:r w:rsidR="00E06B76">
        <w:t xml:space="preserve">indication, the gNB cannot give a suitable grant which means that either the UE cannot transmit its </w:t>
      </w:r>
      <w:r w:rsidR="00C94B26">
        <w:t>message 3</w:t>
      </w:r>
      <w:r w:rsidR="0047550F">
        <w:t xml:space="preserve"> with potential data </w:t>
      </w:r>
      <w:r w:rsidR="00E06B76">
        <w:t>or the grant is so large that it will waste resources.</w:t>
      </w:r>
      <w:r w:rsidR="00F07B07">
        <w:t xml:space="preserve"> If there is no indication that can be derived from the preamble transmission, the gNB will not be able to give the right size of grant in all situations. </w:t>
      </w:r>
    </w:p>
    <w:p w14:paraId="5E6049AC" w14:textId="6DD0B172" w:rsidR="004168D8" w:rsidRDefault="00483B6D" w:rsidP="000244F0">
      <w:pPr>
        <w:pStyle w:val="Proposal"/>
      </w:pPr>
      <w:bookmarkStart w:id="3" w:name="_Toc462055692"/>
      <w:bookmarkStart w:id="4" w:name="_Toc462056085"/>
      <w:bookmarkStart w:id="5" w:name="_Toc462056139"/>
      <w:bookmarkStart w:id="6" w:name="_Toc462384595"/>
      <w:bookmarkStart w:id="7" w:name="_Toc463033473"/>
      <w:bookmarkStart w:id="8" w:name="_Toc463033596"/>
      <w:bookmarkStart w:id="9" w:name="_Toc466063204"/>
      <w:bookmarkStart w:id="10" w:name="_Toc468969694"/>
      <w:bookmarkStart w:id="11" w:name="_Toc468970646"/>
      <w:bookmarkStart w:id="12" w:name="_Toc470080484"/>
      <w:bookmarkStart w:id="13" w:name="_Toc470081729"/>
      <w:bookmarkStart w:id="14" w:name="_Toc471127758"/>
      <w:bookmarkStart w:id="15" w:name="_Toc471473468"/>
      <w:bookmarkStart w:id="16" w:name="_Toc471478992"/>
      <w:bookmarkStart w:id="17" w:name="_Toc471479124"/>
      <w:bookmarkStart w:id="18" w:name="_Toc462726372"/>
      <w:bookmarkStart w:id="19" w:name="_Toc462726636"/>
      <w:bookmarkStart w:id="20" w:name="_Toc462840569"/>
      <w:bookmarkStart w:id="21" w:name="_Toc471496207"/>
      <w:r>
        <w:t>RAN2 should s</w:t>
      </w:r>
      <w:r w:rsidR="00E06B76">
        <w:t xml:space="preserve">pecify a method to </w:t>
      </w:r>
      <w:r>
        <w:t xml:space="preserve">allow the UE to </w:t>
      </w:r>
      <w:r w:rsidR="00E06B76">
        <w:t xml:space="preserve">inform </w:t>
      </w:r>
      <w:r>
        <w:t xml:space="preserve">the </w:t>
      </w:r>
      <w:r w:rsidR="00E06B76">
        <w:t xml:space="preserve">gNB </w:t>
      </w:r>
      <w:r>
        <w:t xml:space="preserve">of what size grant it wishes to receive for message 3 </w:t>
      </w:r>
      <w:r w:rsidR="00F07B07">
        <w:t xml:space="preserve">transmission </w:t>
      </w:r>
      <w:r>
        <w:t>in the RA procedure</w:t>
      </w:r>
      <w:r w:rsidR="000244F0">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1"/>
      <w:r w:rsidR="000244F0">
        <w:t xml:space="preserve"> </w:t>
      </w:r>
      <w:bookmarkEnd w:id="18"/>
      <w:bookmarkEnd w:id="19"/>
      <w:bookmarkEnd w:id="20"/>
    </w:p>
    <w:p w14:paraId="0ACB624E" w14:textId="77777777" w:rsidR="00F07B07" w:rsidRDefault="00E06B76" w:rsidP="00801BF4">
      <w:r>
        <w:t xml:space="preserve">There are different </w:t>
      </w:r>
      <w:r w:rsidR="00F07B07">
        <w:t xml:space="preserve">potential </w:t>
      </w:r>
      <w:r>
        <w:t>methods to indicate more info in preamble</w:t>
      </w:r>
      <w:r w:rsidR="00F07B07">
        <w:t>.</w:t>
      </w:r>
    </w:p>
    <w:p w14:paraId="2EF741A6" w14:textId="4E012EA9" w:rsidR="004168D8" w:rsidRDefault="00F07B07" w:rsidP="00801BF4">
      <w:r>
        <w:t xml:space="preserve">In current LTE, there are 64 different preamble signatures defined. </w:t>
      </w:r>
      <w:r w:rsidR="003E75EA">
        <w:t>If this would be reused in NR,</w:t>
      </w:r>
      <w:r w:rsidR="003F5C9B">
        <w:t xml:space="preserve"> certain (sets of) preambles could imply that a certain grant size is wanted, </w:t>
      </w:r>
      <w:r w:rsidR="00863713">
        <w:t>i.e.</w:t>
      </w:r>
      <w:r w:rsidR="003F5C9B">
        <w:t xml:space="preserve"> the preambles are partitioned</w:t>
      </w:r>
      <w:r w:rsidR="00CE4578">
        <w:t xml:space="preserve"> where each partition indicates a particular wanted grant size</w:t>
      </w:r>
      <w:r w:rsidR="003F5C9B">
        <w:t>.</w:t>
      </w:r>
      <w:r w:rsidR="0041311D">
        <w:t xml:space="preserve"> A UE that wishes to have a large grant would indicate this by selecting a preamble from the designated group. The gNB would then upon reception of the preamble know what grant size the UE wishes to receive. If resources are </w:t>
      </w:r>
      <w:r w:rsidR="007B5A37">
        <w:t>available,</w:t>
      </w:r>
      <w:r w:rsidR="0041311D">
        <w:t xml:space="preserve"> the gNB may return the wanted grant size in the RAR</w:t>
      </w:r>
      <w:r w:rsidR="00863713">
        <w:t xml:space="preserve"> (msg 2)</w:t>
      </w:r>
      <w:r w:rsidR="0041311D">
        <w:t xml:space="preserve">. Partitioning the current 64 preamble signatures into groups do not allow a very fine grained partition. </w:t>
      </w:r>
      <w:r>
        <w:t xml:space="preserve">One obvious </w:t>
      </w:r>
      <w:r w:rsidR="0041311D">
        <w:t>enhancement</w:t>
      </w:r>
      <w:r w:rsidR="00591E7D">
        <w:t xml:space="preserve"> would be to increase the</w:t>
      </w:r>
      <w:r>
        <w:t xml:space="preserve"> number</w:t>
      </w:r>
      <w:r w:rsidR="00591E7D">
        <w:t xml:space="preserve"> of possible preamble signatures</w:t>
      </w:r>
      <w:r>
        <w:t xml:space="preserve">. A possible drawback with this is that the gNB may have difficulties to </w:t>
      </w:r>
      <w:r w:rsidR="00591E7D">
        <w:t>handle</w:t>
      </w:r>
      <w:r>
        <w:t xml:space="preserve"> a large number </w:t>
      </w:r>
      <w:r w:rsidR="00591E7D">
        <w:t>of possible preamble signatures.</w:t>
      </w:r>
    </w:p>
    <w:p w14:paraId="7E5B8323" w14:textId="031B54D4" w:rsidR="00F07B07" w:rsidRDefault="00F07B07" w:rsidP="00801BF4">
      <w:r>
        <w:t xml:space="preserve">A second approach </w:t>
      </w:r>
      <w:r w:rsidR="0041311D">
        <w:t xml:space="preserve">to provide information with the preamble </w:t>
      </w:r>
      <w:r>
        <w:t xml:space="preserve">would be to </w:t>
      </w:r>
      <w:r w:rsidR="002B3510">
        <w:t xml:space="preserve">specify that certain resources (time/frequency) </w:t>
      </w:r>
      <w:r w:rsidR="00863713">
        <w:t xml:space="preserve">used for transmission of the preamble </w:t>
      </w:r>
      <w:r w:rsidR="002B3510">
        <w:t xml:space="preserve">imply that a certain grant size is wanted, </w:t>
      </w:r>
      <w:r w:rsidR="00863713">
        <w:t>i.e.</w:t>
      </w:r>
      <w:r w:rsidR="002B3510">
        <w:t xml:space="preserve"> the </w:t>
      </w:r>
      <w:r w:rsidR="00863713">
        <w:t xml:space="preserve">radio </w:t>
      </w:r>
      <w:r w:rsidR="002B3510">
        <w:t xml:space="preserve">resources are partitioned where each partition indicates a particular wanted grant size. If a high granularity is wanted, a large number of </w:t>
      </w:r>
      <w:r w:rsidR="00863713">
        <w:t xml:space="preserve">radio </w:t>
      </w:r>
      <w:r w:rsidR="002B3510">
        <w:t>resources must be used. On the other hand,</w:t>
      </w:r>
      <w:r w:rsidR="0059030C">
        <w:t xml:space="preserve"> if a large number of </w:t>
      </w:r>
      <w:r w:rsidR="00863713">
        <w:t xml:space="preserve">radio </w:t>
      </w:r>
      <w:r w:rsidR="0059030C">
        <w:t xml:space="preserve">resources are set aside for preamble transmissions, there </w:t>
      </w:r>
      <w:r w:rsidR="0041311D">
        <w:t>will</w:t>
      </w:r>
      <w:r w:rsidR="0059030C">
        <w:t xml:space="preserve"> be over-provisioning and hence waste of resources.</w:t>
      </w:r>
      <w:r w:rsidR="00E54F90">
        <w:t xml:space="preserve"> A benefit with this approach is that the network can configure the amount of resources and the splits in a way that can balance the needs for providing high granularity for size of grant indication and the resources set aside for preamble transmissions.</w:t>
      </w:r>
    </w:p>
    <w:p w14:paraId="301FD979" w14:textId="56C74B41" w:rsidR="00F07B07" w:rsidRDefault="00F07B07" w:rsidP="00801BF4">
      <w:r>
        <w:t xml:space="preserve">As a third approach, the size of the </w:t>
      </w:r>
      <w:r w:rsidR="00FF242F">
        <w:t xml:space="preserve">wanted </w:t>
      </w:r>
      <w:r>
        <w:t xml:space="preserve">grant could be encoded </w:t>
      </w:r>
      <w:r w:rsidR="0059030C">
        <w:t>after the preamble on the PRACH</w:t>
      </w:r>
      <w:r w:rsidR="00863713">
        <w:t>, i.e. the UE transmits the preamble and an indication of the wanted size</w:t>
      </w:r>
      <w:r w:rsidR="0059030C">
        <w:t xml:space="preserve">. Also here, a certain set of values could be defined to make it </w:t>
      </w:r>
      <w:r w:rsidR="00AC3CFF">
        <w:t>possible</w:t>
      </w:r>
      <w:r w:rsidR="0059030C">
        <w:t xml:space="preserve"> for the gNB to decode the wanted grant size.</w:t>
      </w:r>
    </w:p>
    <w:p w14:paraId="4D7C2E17" w14:textId="5A2B1A01" w:rsidR="00E06B76" w:rsidRDefault="00AC3CFF" w:rsidP="00B74FF2">
      <w:r>
        <w:t xml:space="preserve">To conclude, the choice of how to indicate more information with the preamble is a balance between what </w:t>
      </w:r>
      <w:r w:rsidR="00591E7D">
        <w:t xml:space="preserve">number of possible preamble signatures </w:t>
      </w:r>
      <w:r>
        <w:t xml:space="preserve">the gNB can </w:t>
      </w:r>
      <w:r w:rsidR="00591E7D">
        <w:t>handle</w:t>
      </w:r>
      <w:r>
        <w:t xml:space="preserve"> and the amount of resources that must be set </w:t>
      </w:r>
      <w:r>
        <w:lastRenderedPageBreak/>
        <w:t>aside for preamble transmissions.</w:t>
      </w:r>
      <w:r w:rsidR="00E96D27">
        <w:t xml:space="preserve"> </w:t>
      </w:r>
      <w:r w:rsidR="007A6DC2">
        <w:t>Since both increasing the number of preamble signatures and increasing the number of resources will lead to drawbacks it should be studied how these could be combined to increase granularity with minimum impact on performance.</w:t>
      </w:r>
    </w:p>
    <w:p w14:paraId="30010139" w14:textId="0CA613DF" w:rsidR="004168D8" w:rsidRDefault="00E54F90" w:rsidP="004168D8">
      <w:pPr>
        <w:pStyle w:val="Proposal"/>
      </w:pPr>
      <w:bookmarkStart w:id="22" w:name="_Toc463033474"/>
      <w:bookmarkStart w:id="23" w:name="_Toc463033597"/>
      <w:bookmarkStart w:id="24" w:name="_Toc466063205"/>
      <w:bookmarkStart w:id="25" w:name="_Toc468969695"/>
      <w:bookmarkStart w:id="26" w:name="_Toc468970647"/>
      <w:bookmarkStart w:id="27" w:name="_Toc471473469"/>
      <w:bookmarkStart w:id="28" w:name="_Toc471478993"/>
      <w:bookmarkStart w:id="29" w:name="_Toc471479125"/>
      <w:bookmarkStart w:id="30" w:name="_Toc462726374"/>
      <w:bookmarkStart w:id="31" w:name="_Toc462726638"/>
      <w:bookmarkStart w:id="32" w:name="_Toc462840571"/>
      <w:bookmarkStart w:id="33" w:name="_Toc470080485"/>
      <w:bookmarkStart w:id="34" w:name="_Toc470081730"/>
      <w:bookmarkStart w:id="35" w:name="_Toc471127759"/>
      <w:bookmarkStart w:id="36" w:name="_Toc471496208"/>
      <w:r>
        <w:t>RAN2 should study how to combine a RACH resource partition and preamble signature partition to indicate the wanted size of grant</w:t>
      </w:r>
      <w:r w:rsidR="00B63AAD">
        <w:t xml:space="preserve"> for </w:t>
      </w:r>
      <w:r w:rsidR="00C94B26">
        <w:t>message 3</w:t>
      </w:r>
      <w:r w:rsidR="004168D8">
        <w:t>.</w:t>
      </w:r>
      <w:bookmarkEnd w:id="22"/>
      <w:bookmarkEnd w:id="23"/>
      <w:bookmarkEnd w:id="24"/>
      <w:bookmarkEnd w:id="25"/>
      <w:bookmarkEnd w:id="26"/>
      <w:bookmarkEnd w:id="27"/>
      <w:bookmarkEnd w:id="28"/>
      <w:bookmarkEnd w:id="29"/>
      <w:bookmarkEnd w:id="36"/>
      <w:r w:rsidR="004168D8">
        <w:t xml:space="preserve"> </w:t>
      </w:r>
      <w:bookmarkEnd w:id="30"/>
      <w:bookmarkEnd w:id="31"/>
      <w:bookmarkEnd w:id="32"/>
      <w:bookmarkEnd w:id="33"/>
      <w:bookmarkEnd w:id="34"/>
      <w:bookmarkEnd w:id="35"/>
    </w:p>
    <w:p w14:paraId="7098A310" w14:textId="364CA7C2" w:rsidR="004E38A6" w:rsidRDefault="004E38A6" w:rsidP="00A12A5D">
      <w:pPr>
        <w:pStyle w:val="Heading2"/>
      </w:pPr>
      <w:r>
        <w:t xml:space="preserve">Other </w:t>
      </w:r>
      <w:r w:rsidR="00CF34F5">
        <w:t>aspects of Random Access</w:t>
      </w:r>
    </w:p>
    <w:p w14:paraId="7332F31B" w14:textId="029F6FFD" w:rsidR="00CF34F5" w:rsidRDefault="00AC4F5A" w:rsidP="00A12A5D">
      <w:r>
        <w:t>There are also other aspects of the random access that could be enhanced compared to LTE. One situation is when the UE does not receive a RAR</w:t>
      </w:r>
      <w:r w:rsidR="00A12A5D">
        <w:t xml:space="preserve"> (msg 2)</w:t>
      </w:r>
      <w:r>
        <w:t xml:space="preserve"> after the preamble transmission. In legacy LTE the UE will do power ramping and retransmit the preamble. This may lead to </w:t>
      </w:r>
      <w:r w:rsidR="00F1162F">
        <w:t xml:space="preserve">so-called </w:t>
      </w:r>
      <w:r>
        <w:t>RACH storms where the UE transmits a huge number of preambles causing interference and RACH collisions.</w:t>
      </w:r>
      <w:r w:rsidR="0019404E">
        <w:t xml:space="preserve"> The reason why the UE does not receive the RAR may be different and call for different solutions. </w:t>
      </w:r>
      <w:r w:rsidR="00CF34F5">
        <w:t xml:space="preserve">Below we list some examples </w:t>
      </w:r>
      <w:r w:rsidR="00A12A5D">
        <w:t xml:space="preserve">when RAR is not detected in the UE </w:t>
      </w:r>
      <w:r w:rsidR="00CF34F5">
        <w:t>and possible solutions.</w:t>
      </w:r>
    </w:p>
    <w:p w14:paraId="59CA5128" w14:textId="16A92183" w:rsidR="004E38A6" w:rsidRPr="00591E7D" w:rsidRDefault="00A12A5D" w:rsidP="00A12A5D">
      <w:pPr>
        <w:pStyle w:val="B1"/>
      </w:pPr>
      <w:r>
        <w:t>-</w:t>
      </w:r>
      <w:r>
        <w:tab/>
      </w:r>
      <w:r w:rsidR="00CF34F5" w:rsidRPr="00591E7D">
        <w:t>The</w:t>
      </w:r>
      <w:r w:rsidR="0019404E" w:rsidRPr="00591E7D">
        <w:t xml:space="preserve"> RAR may not be detected due to bad DL synchronization in the UE. In this case the preambles are detected by the gNB which sends the </w:t>
      </w:r>
      <w:r w:rsidR="00CF34F5" w:rsidRPr="00591E7D">
        <w:t>RAR, but the RAR is not detected by the UE.</w:t>
      </w:r>
    </w:p>
    <w:p w14:paraId="43712B70" w14:textId="14E6BBB6" w:rsidR="00CF34F5" w:rsidRPr="002B3510" w:rsidRDefault="00A12A5D" w:rsidP="00A12A5D">
      <w:pPr>
        <w:pStyle w:val="B2"/>
      </w:pPr>
      <w:r>
        <w:t>-</w:t>
      </w:r>
      <w:r>
        <w:tab/>
      </w:r>
      <w:r w:rsidR="00CF34F5" w:rsidRPr="00591E7D">
        <w:t xml:space="preserve">In this case the UE should obtain DL synch. </w:t>
      </w:r>
      <w:r w:rsidR="00061A3D" w:rsidRPr="00591E7D">
        <w:t>Since t</w:t>
      </w:r>
      <w:r w:rsidR="00CF34F5" w:rsidRPr="00591E7D">
        <w:t>he lack of DL synch is not known by the UE</w:t>
      </w:r>
      <w:r w:rsidR="00061A3D" w:rsidRPr="00591E7D">
        <w:t>, use of a DL synch procedure when the UE does not receive the RAR</w:t>
      </w:r>
      <w:r w:rsidR="00CF34F5" w:rsidRPr="00591E7D">
        <w:t xml:space="preserve"> </w:t>
      </w:r>
      <w:r w:rsidR="00061A3D" w:rsidRPr="00591E7D">
        <w:t>should</w:t>
      </w:r>
      <w:r w:rsidR="00CF34F5" w:rsidRPr="00591E7D">
        <w:t xml:space="preserve"> be added to the RA procedure.</w:t>
      </w:r>
      <w:r w:rsidR="00CF34F5" w:rsidRPr="002B3510">
        <w:t xml:space="preserve"> For example, after n preamble retransmissions</w:t>
      </w:r>
      <w:r w:rsidR="00517659" w:rsidRPr="002B3510">
        <w:t xml:space="preserve"> without receiving a RAR</w:t>
      </w:r>
      <w:r w:rsidR="00CF34F5" w:rsidRPr="002B3510">
        <w:t>, the UE obtains new DL synch before commencing with further preamble transmissions.</w:t>
      </w:r>
    </w:p>
    <w:p w14:paraId="09B5415E" w14:textId="18895285" w:rsidR="004E38A6" w:rsidRPr="002B3510" w:rsidRDefault="00A12A5D" w:rsidP="00A12A5D">
      <w:pPr>
        <w:pStyle w:val="B1"/>
      </w:pPr>
      <w:r>
        <w:t>-</w:t>
      </w:r>
      <w:r>
        <w:tab/>
      </w:r>
      <w:r w:rsidR="00CF34F5" w:rsidRPr="002B3510">
        <w:t>The</w:t>
      </w:r>
      <w:r w:rsidR="00517659" w:rsidRPr="002B3510">
        <w:t xml:space="preserve"> RAR may not have been sent if the</w:t>
      </w:r>
      <w:r w:rsidR="00CF34F5" w:rsidRPr="002B3510">
        <w:t xml:space="preserve"> p</w:t>
      </w:r>
      <w:r w:rsidR="004E38A6" w:rsidRPr="002B3510">
        <w:t>reamble</w:t>
      </w:r>
      <w:r w:rsidR="00517659" w:rsidRPr="002B3510">
        <w:t xml:space="preserve"> is</w:t>
      </w:r>
      <w:r w:rsidR="004E38A6" w:rsidRPr="002B3510">
        <w:t xml:space="preserve"> not detected </w:t>
      </w:r>
      <w:r w:rsidR="00517659" w:rsidRPr="002B3510">
        <w:t xml:space="preserve">by gNB. Failure to detect the preamble may happen </w:t>
      </w:r>
      <w:r w:rsidR="004E38A6" w:rsidRPr="002B3510">
        <w:t>for various reasons</w:t>
      </w:r>
      <w:r w:rsidR="00517659" w:rsidRPr="002B3510">
        <w:t xml:space="preserve"> such as</w:t>
      </w:r>
    </w:p>
    <w:p w14:paraId="792E3FB9" w14:textId="7F10DA03" w:rsidR="00B93756" w:rsidRPr="002B3510" w:rsidRDefault="00A12A5D" w:rsidP="00A12A5D">
      <w:pPr>
        <w:pStyle w:val="B2"/>
      </w:pPr>
      <w:r>
        <w:t>-</w:t>
      </w:r>
      <w:r>
        <w:tab/>
      </w:r>
      <w:r w:rsidR="00517659" w:rsidRPr="002B3510">
        <w:t>Collisions</w:t>
      </w:r>
      <w:r w:rsidR="00B93756" w:rsidRPr="002B3510">
        <w:t xml:space="preserve"> between different preambles</w:t>
      </w:r>
    </w:p>
    <w:p w14:paraId="661BFD4F" w14:textId="4DAD8D1D" w:rsidR="00B93756" w:rsidRPr="002B3510" w:rsidRDefault="00A12A5D" w:rsidP="00A12A5D">
      <w:pPr>
        <w:pStyle w:val="B2"/>
      </w:pPr>
      <w:r>
        <w:t>-</w:t>
      </w:r>
      <w:r>
        <w:tab/>
      </w:r>
      <w:r w:rsidR="00B93756" w:rsidRPr="002B3510">
        <w:t>High interference</w:t>
      </w:r>
    </w:p>
    <w:p w14:paraId="1B6E3EB9" w14:textId="4ECBD0E5" w:rsidR="00B93756" w:rsidRPr="002B3510" w:rsidRDefault="00A12A5D" w:rsidP="00A12A5D">
      <w:pPr>
        <w:pStyle w:val="B2"/>
      </w:pPr>
      <w:r>
        <w:t>-</w:t>
      </w:r>
      <w:r>
        <w:tab/>
      </w:r>
      <w:r w:rsidR="00B93756" w:rsidRPr="002B3510">
        <w:t>UL blocked</w:t>
      </w:r>
    </w:p>
    <w:p w14:paraId="57983992" w14:textId="5160074C" w:rsidR="00F1162F" w:rsidRDefault="00F1162F" w:rsidP="00A12A5D">
      <w:r>
        <w:t>Both of these</w:t>
      </w:r>
      <w:r w:rsidR="00B93756">
        <w:t xml:space="preserve"> case</w:t>
      </w:r>
      <w:r>
        <w:t xml:space="preserve">s </w:t>
      </w:r>
      <w:r w:rsidR="00B93756">
        <w:t xml:space="preserve">will </w:t>
      </w:r>
      <w:r>
        <w:t xml:space="preserve">cause the UE to </w:t>
      </w:r>
      <w:r w:rsidR="00B93756">
        <w:t xml:space="preserve">re-transmit </w:t>
      </w:r>
      <w:r w:rsidR="0056143F">
        <w:t>the preamble</w:t>
      </w:r>
      <w:r>
        <w:t xml:space="preserve"> and may lead to RACH storms. The problem could be alleviated if the UE</w:t>
      </w:r>
      <w:r w:rsidR="00A12A5D">
        <w:t>'</w:t>
      </w:r>
      <w:r>
        <w:t>s retransmissions could be configured in a more detailed way. For example, the re-transmissions could be done with varying frequency depending on UE type or priority of data, i.e. the reason for the RA. The retransmissions could also be done considering back-off periods. Making the UE to regain DL synch could also be important in some cases.</w:t>
      </w:r>
    </w:p>
    <w:p w14:paraId="05E56AB6" w14:textId="14A64019" w:rsidR="00F1162F" w:rsidRDefault="00F1162F" w:rsidP="00F1162F">
      <w:pPr>
        <w:pStyle w:val="Proposal"/>
      </w:pPr>
      <w:bookmarkStart w:id="37" w:name="_Toc471473470"/>
      <w:bookmarkStart w:id="38" w:name="_Toc471478994"/>
      <w:bookmarkStart w:id="39" w:name="_Toc471479126"/>
      <w:bookmarkStart w:id="40" w:name="_Toc470080486"/>
      <w:bookmarkStart w:id="41" w:name="_Toc470081731"/>
      <w:bookmarkStart w:id="42" w:name="_Toc471127760"/>
      <w:bookmarkStart w:id="43" w:name="_Toc471496209"/>
      <w:r>
        <w:t>RAN2 should define configurable parameters that allow more detailed preamble retransmission schemes.</w:t>
      </w:r>
      <w:bookmarkEnd w:id="37"/>
      <w:bookmarkEnd w:id="38"/>
      <w:bookmarkEnd w:id="39"/>
      <w:bookmarkEnd w:id="43"/>
      <w:r>
        <w:t xml:space="preserve"> </w:t>
      </w:r>
      <w:bookmarkEnd w:id="40"/>
      <w:bookmarkEnd w:id="41"/>
      <w:bookmarkEnd w:id="42"/>
    </w:p>
    <w:p w14:paraId="3CAD0F2C" w14:textId="634F576F" w:rsidR="00BF3FD3" w:rsidRDefault="001921BA" w:rsidP="00A12A5D">
      <w:pPr>
        <w:pStyle w:val="BodyText"/>
      </w:pPr>
      <w:r>
        <w:t xml:space="preserve">Another aspect is when the UE detects a RAR with back-off. That is, there has been </w:t>
      </w:r>
      <w:r w:rsidR="00A12A5D">
        <w:t>a preamble collision between two or more UEs</w:t>
      </w:r>
      <w:r>
        <w:t xml:space="preserve">. This will typically happen in cases with high load when the gNB needs to reduce the load from RA. In LTE the back-off orders all UEs (except the UE(s) which also receive their preamble in the RAR) to back-off a random time </w:t>
      </w:r>
      <w:r w:rsidR="00A12A5D">
        <w:t>before</w:t>
      </w:r>
      <w:r>
        <w:t xml:space="preserve"> retransmitting </w:t>
      </w:r>
      <w:r w:rsidR="00BF3FD3">
        <w:t>a preamble. This mechanism is rather crude and cannot distinguish between UEs with high priority</w:t>
      </w:r>
      <w:r w:rsidR="00F55D8D">
        <w:t xml:space="preserve"> or time critical data</w:t>
      </w:r>
      <w:r w:rsidR="00BF3FD3">
        <w:t xml:space="preserve"> or the </w:t>
      </w:r>
      <w:r w:rsidR="00A12A5D">
        <w:t>number of already performed RA attempts, for example a UE which experiences preamble collision on its third attempt should get a shorter back-off than a UE on its first attempt.</w:t>
      </w:r>
      <w:r w:rsidR="00BF3FD3">
        <w:t xml:space="preserve"> Allowing a more detailed back-off scheme would increase the possibilities fo</w:t>
      </w:r>
      <w:r w:rsidR="00A12A5D">
        <w:t>r efficient resource management, but mechanisms in LTE such as Access Class Barring should also be considered.</w:t>
      </w:r>
    </w:p>
    <w:p w14:paraId="562BD0BE" w14:textId="6410B487" w:rsidR="00BF3FD3" w:rsidRDefault="00BF3FD3" w:rsidP="00BF3FD3">
      <w:pPr>
        <w:pStyle w:val="Proposal"/>
      </w:pPr>
      <w:bookmarkStart w:id="44" w:name="_Toc470081732"/>
      <w:bookmarkStart w:id="45" w:name="_Toc471127761"/>
      <w:bookmarkStart w:id="46" w:name="_Toc471473471"/>
      <w:bookmarkStart w:id="47" w:name="_Toc471478995"/>
      <w:bookmarkStart w:id="48" w:name="_Toc471479127"/>
      <w:bookmarkStart w:id="49" w:name="_Toc471496210"/>
      <w:r>
        <w:t>RAN2 should define configurable parameters that allow more detailed back-off schemes.</w:t>
      </w:r>
      <w:bookmarkEnd w:id="49"/>
      <w:r>
        <w:t xml:space="preserve"> </w:t>
      </w:r>
      <w:bookmarkEnd w:id="44"/>
      <w:bookmarkEnd w:id="45"/>
      <w:bookmarkEnd w:id="46"/>
      <w:bookmarkEnd w:id="47"/>
      <w:bookmarkEnd w:id="48"/>
    </w:p>
    <w:p w14:paraId="721E47B8" w14:textId="58882C49" w:rsidR="00C01F33" w:rsidRPr="00CE0424" w:rsidRDefault="00C01F33" w:rsidP="00A12A5D">
      <w:pPr>
        <w:pStyle w:val="Heading1"/>
      </w:pPr>
      <w:r w:rsidRPr="00CE0424">
        <w:t>Conclusion</w:t>
      </w:r>
    </w:p>
    <w:p w14:paraId="757B01F3" w14:textId="7FD2F25E" w:rsidR="00A12A5D" w:rsidRDefault="008E065E" w:rsidP="000E367B">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82361">
        <w:t>2</w:t>
      </w:r>
      <w:r w:rsidRPr="00CE0424">
        <w:rPr>
          <w:highlight w:val="cyan"/>
        </w:rPr>
        <w:fldChar w:fldCharType="end"/>
      </w:r>
      <w:r w:rsidRPr="00CE0424">
        <w:t xml:space="preserve"> we </w:t>
      </w:r>
      <w:r>
        <w:t>made the following observations</w:t>
      </w:r>
      <w:r w:rsidRPr="00CE0424">
        <w:t>:</w:t>
      </w:r>
    </w:p>
    <w:sdt>
      <w:sdtPr>
        <w:rPr>
          <w:b w:val="0"/>
          <w:noProof w:val="0"/>
          <w:szCs w:val="20"/>
          <w:lang w:val="en-GB"/>
        </w:rPr>
        <w:id w:val="430246114"/>
        <w:docPartObj>
          <w:docPartGallery w:val="Table of Contents"/>
          <w:docPartUnique/>
        </w:docPartObj>
      </w:sdtPr>
      <w:sdtEndPr>
        <w:rPr>
          <w:b/>
        </w:rPr>
      </w:sdtEndPr>
      <w:sdtContent>
        <w:p w14:paraId="230DED16" w14:textId="77777777" w:rsidR="00482361" w:rsidRDefault="00A12A5D">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71479123" w:history="1">
            <w:r w:rsidR="00482361" w:rsidRPr="00FA60FE">
              <w:rPr>
                <w:rStyle w:val="Hyperlink"/>
              </w:rPr>
              <w:t>Observation 1</w:t>
            </w:r>
            <w:r w:rsidR="00482361">
              <w:rPr>
                <w:rFonts w:asciiTheme="minorHAnsi" w:eastAsiaTheme="minorEastAsia" w:hAnsiTheme="minorHAnsi" w:cstheme="minorBidi"/>
                <w:b w:val="0"/>
                <w:sz w:val="22"/>
                <w:lang w:val="sv-SE"/>
              </w:rPr>
              <w:tab/>
            </w:r>
            <w:r w:rsidR="00482361" w:rsidRPr="00FA60FE">
              <w:rPr>
                <w:rStyle w:val="Hyperlink"/>
              </w:rPr>
              <w:t>A two-step random a</w:t>
            </w:r>
            <w:bookmarkStart w:id="50" w:name="_GoBack"/>
            <w:bookmarkEnd w:id="50"/>
            <w:r w:rsidR="00482361" w:rsidRPr="00FA60FE">
              <w:rPr>
                <w:rStyle w:val="Hyperlink"/>
              </w:rPr>
              <w:t>ccess cannot be applied in all scenarios such as in large cells when UL TA is not known.</w:t>
            </w:r>
          </w:hyperlink>
        </w:p>
        <w:p w14:paraId="2B559BB4" w14:textId="1E1B941D" w:rsidR="00A12A5D" w:rsidRDefault="00A12A5D" w:rsidP="000E367B">
          <w:r>
            <w:rPr>
              <w:b/>
            </w:rPr>
            <w:fldChar w:fldCharType="end"/>
          </w:r>
        </w:p>
      </w:sdtContent>
    </w:sdt>
    <w:p w14:paraId="7B781463" w14:textId="75E19699" w:rsidR="000244F0" w:rsidRPr="00F645A9" w:rsidRDefault="008E065E" w:rsidP="00B74FF2">
      <w:pPr>
        <w:pStyle w:val="BodyText"/>
      </w:pPr>
      <w:r w:rsidRPr="00F645A9">
        <w:t xml:space="preserve">Based on the discussion in section </w:t>
      </w:r>
      <w:r w:rsidRPr="00F645A9">
        <w:rPr>
          <w:b/>
          <w:highlight w:val="cyan"/>
        </w:rPr>
        <w:fldChar w:fldCharType="begin"/>
      </w:r>
      <w:r w:rsidRPr="00F645A9">
        <w:instrText xml:space="preserve"> REF _Ref178064866 \r \h </w:instrText>
      </w:r>
      <w:r w:rsidR="00F645A9">
        <w:rPr>
          <w:highlight w:val="cyan"/>
        </w:rPr>
        <w:instrText xml:space="preserve"> \* MERGEFORMAT </w:instrText>
      </w:r>
      <w:r w:rsidRPr="00F645A9">
        <w:rPr>
          <w:b/>
          <w:highlight w:val="cyan"/>
        </w:rPr>
      </w:r>
      <w:r w:rsidRPr="00F645A9">
        <w:rPr>
          <w:b/>
          <w:highlight w:val="cyan"/>
        </w:rPr>
        <w:fldChar w:fldCharType="separate"/>
      </w:r>
      <w:r w:rsidR="00482361">
        <w:t>2</w:t>
      </w:r>
      <w:r w:rsidRPr="00F645A9">
        <w:rPr>
          <w:b/>
          <w:highlight w:val="cyan"/>
        </w:rPr>
        <w:fldChar w:fldCharType="end"/>
      </w:r>
      <w:r w:rsidRPr="00F645A9">
        <w:t xml:space="preserve"> we propose the following:</w:t>
      </w:r>
    </w:p>
    <w:p w14:paraId="53B63AEF" w14:textId="77777777" w:rsidR="004C0B5E" w:rsidRPr="004C0B5E" w:rsidRDefault="008E065E">
      <w:pPr>
        <w:pStyle w:val="TOC1"/>
        <w:rPr>
          <w:rFonts w:asciiTheme="minorHAnsi" w:eastAsiaTheme="minorEastAsia" w:hAnsiTheme="minorHAnsi" w:cstheme="minorBidi"/>
          <w:b w:val="0"/>
          <w:sz w:val="22"/>
        </w:rPr>
      </w:pPr>
      <w:r>
        <w:rPr>
          <w:b w:val="0"/>
          <w:bCs/>
        </w:rPr>
        <w:lastRenderedPageBreak/>
        <w:fldChar w:fldCharType="begin"/>
      </w:r>
      <w:r>
        <w:rPr>
          <w:b w:val="0"/>
          <w:bCs/>
        </w:rPr>
        <w:instrText xml:space="preserve"> TOC \f \n \p " " \t "Proposal;1" </w:instrText>
      </w:r>
      <w:r>
        <w:rPr>
          <w:b w:val="0"/>
          <w:bCs/>
        </w:rPr>
        <w:fldChar w:fldCharType="separate"/>
      </w:r>
      <w:r w:rsidR="004C0B5E">
        <w:t>Proposal 1</w:t>
      </w:r>
      <w:r w:rsidR="004C0B5E" w:rsidRPr="004C0B5E">
        <w:rPr>
          <w:rFonts w:asciiTheme="minorHAnsi" w:eastAsiaTheme="minorEastAsia" w:hAnsiTheme="minorHAnsi" w:cstheme="minorBidi"/>
          <w:b w:val="0"/>
          <w:sz w:val="22"/>
        </w:rPr>
        <w:tab/>
      </w:r>
      <w:r w:rsidR="004C0B5E">
        <w:t>RAN2 should specify a method to allow the UE to inform the gNB of what size grant it wishes to receive for message 3 transmission in the RA procedure.</w:t>
      </w:r>
    </w:p>
    <w:p w14:paraId="10FFD29F" w14:textId="77777777" w:rsidR="004C0B5E" w:rsidRPr="004C0B5E" w:rsidRDefault="004C0B5E">
      <w:pPr>
        <w:pStyle w:val="TOC1"/>
        <w:rPr>
          <w:rFonts w:asciiTheme="minorHAnsi" w:eastAsiaTheme="minorEastAsia" w:hAnsiTheme="minorHAnsi" w:cstheme="minorBidi"/>
          <w:b w:val="0"/>
          <w:sz w:val="22"/>
        </w:rPr>
      </w:pPr>
      <w:r>
        <w:t>Proposal 2</w:t>
      </w:r>
      <w:r w:rsidRPr="004C0B5E">
        <w:rPr>
          <w:rFonts w:asciiTheme="minorHAnsi" w:eastAsiaTheme="minorEastAsia" w:hAnsiTheme="minorHAnsi" w:cstheme="minorBidi"/>
          <w:b w:val="0"/>
          <w:sz w:val="22"/>
        </w:rPr>
        <w:tab/>
      </w:r>
      <w:r>
        <w:t>RAN2 should study how to combine a RACH resource partition and preamble signature partition to indicate the wanted size of grant for message 3.</w:t>
      </w:r>
    </w:p>
    <w:p w14:paraId="413FD18A" w14:textId="77777777" w:rsidR="004C0B5E" w:rsidRPr="004C0B5E" w:rsidRDefault="004C0B5E">
      <w:pPr>
        <w:pStyle w:val="TOC1"/>
        <w:rPr>
          <w:rFonts w:asciiTheme="minorHAnsi" w:eastAsiaTheme="minorEastAsia" w:hAnsiTheme="minorHAnsi" w:cstheme="minorBidi"/>
          <w:b w:val="0"/>
          <w:sz w:val="22"/>
        </w:rPr>
      </w:pPr>
      <w:r>
        <w:t>Proposal 3</w:t>
      </w:r>
      <w:r w:rsidRPr="004C0B5E">
        <w:rPr>
          <w:rFonts w:asciiTheme="minorHAnsi" w:eastAsiaTheme="minorEastAsia" w:hAnsiTheme="minorHAnsi" w:cstheme="minorBidi"/>
          <w:b w:val="0"/>
          <w:sz w:val="22"/>
        </w:rPr>
        <w:tab/>
      </w:r>
      <w:r>
        <w:t>RAN2 should define configurable parameters that allow more detailed preamble retransmission schemes.</w:t>
      </w:r>
    </w:p>
    <w:p w14:paraId="48566251" w14:textId="77777777" w:rsidR="004C0B5E" w:rsidRPr="004C0B5E" w:rsidRDefault="004C0B5E">
      <w:pPr>
        <w:pStyle w:val="TOC1"/>
        <w:rPr>
          <w:rFonts w:asciiTheme="minorHAnsi" w:eastAsiaTheme="minorEastAsia" w:hAnsiTheme="minorHAnsi" w:cstheme="minorBidi"/>
          <w:b w:val="0"/>
          <w:sz w:val="22"/>
        </w:rPr>
      </w:pPr>
      <w:r>
        <w:t>Proposal 4</w:t>
      </w:r>
      <w:r w:rsidRPr="004C0B5E">
        <w:rPr>
          <w:rFonts w:asciiTheme="minorHAnsi" w:eastAsiaTheme="minorEastAsia" w:hAnsiTheme="minorHAnsi" w:cstheme="minorBidi"/>
          <w:b w:val="0"/>
          <w:sz w:val="22"/>
        </w:rPr>
        <w:tab/>
      </w:r>
      <w:r>
        <w:t>RAN2 should define configurable parameters that allow more detailed back-off schemes.</w:t>
      </w:r>
    </w:p>
    <w:p w14:paraId="76965C19" w14:textId="48DFFB3D" w:rsidR="00C01F33" w:rsidRPr="00CE0424" w:rsidRDefault="008E065E" w:rsidP="006E062C">
      <w:r>
        <w:rPr>
          <w:b/>
          <w:bCs/>
        </w:rPr>
        <w:fldChar w:fldCharType="end"/>
      </w:r>
    </w:p>
    <w:sectPr w:rsidR="00C01F3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8B408" w14:textId="77777777" w:rsidR="00CD7D13" w:rsidRDefault="00CD7D13">
      <w:r>
        <w:separator/>
      </w:r>
    </w:p>
  </w:endnote>
  <w:endnote w:type="continuationSeparator" w:id="0">
    <w:p w14:paraId="416C8172" w14:textId="77777777" w:rsidR="00CD7D13" w:rsidRDefault="00CD7D13">
      <w:r>
        <w:continuationSeparator/>
      </w:r>
    </w:p>
  </w:endnote>
  <w:endnote w:type="continuationNotice" w:id="1">
    <w:p w14:paraId="4538D36F" w14:textId="77777777" w:rsidR="00183D25" w:rsidRDefault="00183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2BA26" w14:textId="3A32D740" w:rsidR="00CD7D13" w:rsidRDefault="00CD7D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0B5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0B5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E9642" w14:textId="77777777" w:rsidR="00CD7D13" w:rsidRDefault="00CD7D13">
      <w:r>
        <w:separator/>
      </w:r>
    </w:p>
  </w:footnote>
  <w:footnote w:type="continuationSeparator" w:id="0">
    <w:p w14:paraId="219B601C" w14:textId="77777777" w:rsidR="00CD7D13" w:rsidRDefault="00CD7D13">
      <w:r>
        <w:continuationSeparator/>
      </w:r>
    </w:p>
  </w:footnote>
  <w:footnote w:type="continuationNotice" w:id="1">
    <w:p w14:paraId="1B13DDB8" w14:textId="77777777" w:rsidR="00183D25" w:rsidRDefault="00183D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2576E" w14:textId="77777777" w:rsidR="00CD7D13" w:rsidRDefault="00CD7D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3611AB"/>
    <w:multiLevelType w:val="hybridMultilevel"/>
    <w:tmpl w:val="E6D892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0C0DE0"/>
    <w:multiLevelType w:val="hybridMultilevel"/>
    <w:tmpl w:val="F0DA6E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580537"/>
    <w:multiLevelType w:val="hybridMultilevel"/>
    <w:tmpl w:val="940896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5"/>
  </w:num>
  <w:num w:numId="15">
    <w:abstractNumId w:val="16"/>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6B58"/>
    <w:rsid w:val="00006E58"/>
    <w:rsid w:val="00007CDC"/>
    <w:rsid w:val="00011B28"/>
    <w:rsid w:val="00015D15"/>
    <w:rsid w:val="000244F0"/>
    <w:rsid w:val="0002564D"/>
    <w:rsid w:val="00025ECA"/>
    <w:rsid w:val="00027939"/>
    <w:rsid w:val="000325B8"/>
    <w:rsid w:val="00034C15"/>
    <w:rsid w:val="00036BA1"/>
    <w:rsid w:val="000409E0"/>
    <w:rsid w:val="000422E2"/>
    <w:rsid w:val="00042F22"/>
    <w:rsid w:val="000444EF"/>
    <w:rsid w:val="00052A07"/>
    <w:rsid w:val="000534E3"/>
    <w:rsid w:val="0005606A"/>
    <w:rsid w:val="00057117"/>
    <w:rsid w:val="000616E7"/>
    <w:rsid w:val="00061A3D"/>
    <w:rsid w:val="000644E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F9F"/>
    <w:rsid w:val="000A56F2"/>
    <w:rsid w:val="000A706B"/>
    <w:rsid w:val="000B2719"/>
    <w:rsid w:val="000B3A8F"/>
    <w:rsid w:val="000B4AB9"/>
    <w:rsid w:val="000B58C3"/>
    <w:rsid w:val="000B61E9"/>
    <w:rsid w:val="000B7D2C"/>
    <w:rsid w:val="000C165A"/>
    <w:rsid w:val="000C2E19"/>
    <w:rsid w:val="000C7D61"/>
    <w:rsid w:val="000D0D07"/>
    <w:rsid w:val="000D306E"/>
    <w:rsid w:val="000D4797"/>
    <w:rsid w:val="000E0527"/>
    <w:rsid w:val="000E1E92"/>
    <w:rsid w:val="000E367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621B"/>
    <w:rsid w:val="00137AB5"/>
    <w:rsid w:val="00137F0B"/>
    <w:rsid w:val="001452C4"/>
    <w:rsid w:val="00146A23"/>
    <w:rsid w:val="00151E23"/>
    <w:rsid w:val="001526E0"/>
    <w:rsid w:val="001551B5"/>
    <w:rsid w:val="00160D88"/>
    <w:rsid w:val="001643A8"/>
    <w:rsid w:val="0016556D"/>
    <w:rsid w:val="001659C1"/>
    <w:rsid w:val="00173A8E"/>
    <w:rsid w:val="00177795"/>
    <w:rsid w:val="0018143F"/>
    <w:rsid w:val="001826A9"/>
    <w:rsid w:val="00183D25"/>
    <w:rsid w:val="00190AC1"/>
    <w:rsid w:val="001921BA"/>
    <w:rsid w:val="00193249"/>
    <w:rsid w:val="0019341A"/>
    <w:rsid w:val="0019404E"/>
    <w:rsid w:val="00197DF9"/>
    <w:rsid w:val="001A1987"/>
    <w:rsid w:val="001A2564"/>
    <w:rsid w:val="001A6173"/>
    <w:rsid w:val="001A6CBA"/>
    <w:rsid w:val="001B0D97"/>
    <w:rsid w:val="001B2A79"/>
    <w:rsid w:val="001B5A5D"/>
    <w:rsid w:val="001C1CE5"/>
    <w:rsid w:val="001C3D2A"/>
    <w:rsid w:val="001C6495"/>
    <w:rsid w:val="001D51BA"/>
    <w:rsid w:val="001D6342"/>
    <w:rsid w:val="001D6D53"/>
    <w:rsid w:val="001E58E2"/>
    <w:rsid w:val="001E6F59"/>
    <w:rsid w:val="001E7AED"/>
    <w:rsid w:val="001F2A61"/>
    <w:rsid w:val="001F3916"/>
    <w:rsid w:val="001F54C5"/>
    <w:rsid w:val="001F662C"/>
    <w:rsid w:val="001F7074"/>
    <w:rsid w:val="00200490"/>
    <w:rsid w:val="00201F3A"/>
    <w:rsid w:val="00203F96"/>
    <w:rsid w:val="002069B2"/>
    <w:rsid w:val="00207FA3"/>
    <w:rsid w:val="00212176"/>
    <w:rsid w:val="00214DA8"/>
    <w:rsid w:val="00215423"/>
    <w:rsid w:val="002158FA"/>
    <w:rsid w:val="00220600"/>
    <w:rsid w:val="002224DB"/>
    <w:rsid w:val="00223FCB"/>
    <w:rsid w:val="00224EA5"/>
    <w:rsid w:val="002252C3"/>
    <w:rsid w:val="00225C54"/>
    <w:rsid w:val="00230765"/>
    <w:rsid w:val="002319E4"/>
    <w:rsid w:val="00235632"/>
    <w:rsid w:val="00235872"/>
    <w:rsid w:val="00237DC5"/>
    <w:rsid w:val="00241559"/>
    <w:rsid w:val="002435B3"/>
    <w:rsid w:val="002458EB"/>
    <w:rsid w:val="002500C8"/>
    <w:rsid w:val="00257543"/>
    <w:rsid w:val="00260C43"/>
    <w:rsid w:val="002617E7"/>
    <w:rsid w:val="00261FC8"/>
    <w:rsid w:val="00264228"/>
    <w:rsid w:val="00264334"/>
    <w:rsid w:val="0026473E"/>
    <w:rsid w:val="00266214"/>
    <w:rsid w:val="00267C83"/>
    <w:rsid w:val="0027144F"/>
    <w:rsid w:val="00271F3A"/>
    <w:rsid w:val="00273278"/>
    <w:rsid w:val="002737F4"/>
    <w:rsid w:val="0027716C"/>
    <w:rsid w:val="002805F5"/>
    <w:rsid w:val="00280751"/>
    <w:rsid w:val="0028280A"/>
    <w:rsid w:val="00284264"/>
    <w:rsid w:val="00286ACD"/>
    <w:rsid w:val="00287838"/>
    <w:rsid w:val="002907B5"/>
    <w:rsid w:val="00292EB7"/>
    <w:rsid w:val="00296227"/>
    <w:rsid w:val="00296F44"/>
    <w:rsid w:val="0029777D"/>
    <w:rsid w:val="002A055E"/>
    <w:rsid w:val="002A1D4E"/>
    <w:rsid w:val="002A2869"/>
    <w:rsid w:val="002B24D6"/>
    <w:rsid w:val="002B3510"/>
    <w:rsid w:val="002C41E6"/>
    <w:rsid w:val="002D071A"/>
    <w:rsid w:val="002D2756"/>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5502"/>
    <w:rsid w:val="00366D65"/>
    <w:rsid w:val="00370E47"/>
    <w:rsid w:val="003742AC"/>
    <w:rsid w:val="00377CE1"/>
    <w:rsid w:val="00385BF0"/>
    <w:rsid w:val="00385F0B"/>
    <w:rsid w:val="0039385C"/>
    <w:rsid w:val="003939FF"/>
    <w:rsid w:val="00394BA9"/>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9C6"/>
    <w:rsid w:val="003D3C45"/>
    <w:rsid w:val="003D5B1F"/>
    <w:rsid w:val="003E15FA"/>
    <w:rsid w:val="003E55E4"/>
    <w:rsid w:val="003E74E3"/>
    <w:rsid w:val="003E75EA"/>
    <w:rsid w:val="003F05C7"/>
    <w:rsid w:val="003F2CD4"/>
    <w:rsid w:val="003F5C9B"/>
    <w:rsid w:val="003F6BBE"/>
    <w:rsid w:val="004000E8"/>
    <w:rsid w:val="00402E2B"/>
    <w:rsid w:val="0040512B"/>
    <w:rsid w:val="00405CA5"/>
    <w:rsid w:val="00407AC6"/>
    <w:rsid w:val="00407CD3"/>
    <w:rsid w:val="00410134"/>
    <w:rsid w:val="00410B72"/>
    <w:rsid w:val="00410F18"/>
    <w:rsid w:val="0041263E"/>
    <w:rsid w:val="0041311D"/>
    <w:rsid w:val="00413AAC"/>
    <w:rsid w:val="004168D8"/>
    <w:rsid w:val="004209DA"/>
    <w:rsid w:val="00421105"/>
    <w:rsid w:val="004242F4"/>
    <w:rsid w:val="00427248"/>
    <w:rsid w:val="00437447"/>
    <w:rsid w:val="00441A92"/>
    <w:rsid w:val="00444F56"/>
    <w:rsid w:val="00446488"/>
    <w:rsid w:val="004517AA"/>
    <w:rsid w:val="00452CAC"/>
    <w:rsid w:val="00457565"/>
    <w:rsid w:val="00457B71"/>
    <w:rsid w:val="00460518"/>
    <w:rsid w:val="00461A57"/>
    <w:rsid w:val="00465F3A"/>
    <w:rsid w:val="004669E2"/>
    <w:rsid w:val="004704BF"/>
    <w:rsid w:val="00470C31"/>
    <w:rsid w:val="004734D0"/>
    <w:rsid w:val="0047550F"/>
    <w:rsid w:val="0047556B"/>
    <w:rsid w:val="00477768"/>
    <w:rsid w:val="00482361"/>
    <w:rsid w:val="004824AE"/>
    <w:rsid w:val="00483B6D"/>
    <w:rsid w:val="00485EA4"/>
    <w:rsid w:val="00492BC5"/>
    <w:rsid w:val="00495E37"/>
    <w:rsid w:val="004964F1"/>
    <w:rsid w:val="004A16BC"/>
    <w:rsid w:val="004A2B94"/>
    <w:rsid w:val="004B4BE0"/>
    <w:rsid w:val="004B7C0C"/>
    <w:rsid w:val="004C0B5E"/>
    <w:rsid w:val="004C3898"/>
    <w:rsid w:val="004D0D62"/>
    <w:rsid w:val="004D36B1"/>
    <w:rsid w:val="004D7EBD"/>
    <w:rsid w:val="004E2680"/>
    <w:rsid w:val="004E28F9"/>
    <w:rsid w:val="004E38A6"/>
    <w:rsid w:val="004E462E"/>
    <w:rsid w:val="004E56DC"/>
    <w:rsid w:val="004E76F4"/>
    <w:rsid w:val="004F0B4E"/>
    <w:rsid w:val="004F0B6C"/>
    <w:rsid w:val="004F2078"/>
    <w:rsid w:val="004F4DA3"/>
    <w:rsid w:val="004F5BAC"/>
    <w:rsid w:val="00506557"/>
    <w:rsid w:val="0050677A"/>
    <w:rsid w:val="005072ED"/>
    <w:rsid w:val="00507AE3"/>
    <w:rsid w:val="005108D8"/>
    <w:rsid w:val="005116F9"/>
    <w:rsid w:val="005153A7"/>
    <w:rsid w:val="00517659"/>
    <w:rsid w:val="005219CF"/>
    <w:rsid w:val="005338D0"/>
    <w:rsid w:val="00534B59"/>
    <w:rsid w:val="00536759"/>
    <w:rsid w:val="00537C62"/>
    <w:rsid w:val="00546970"/>
    <w:rsid w:val="00554E19"/>
    <w:rsid w:val="0056121F"/>
    <w:rsid w:val="0056143F"/>
    <w:rsid w:val="00572505"/>
    <w:rsid w:val="00582809"/>
    <w:rsid w:val="0058798C"/>
    <w:rsid w:val="005900FA"/>
    <w:rsid w:val="0059030C"/>
    <w:rsid w:val="00591E7D"/>
    <w:rsid w:val="005935A4"/>
    <w:rsid w:val="00594354"/>
    <w:rsid w:val="005948C2"/>
    <w:rsid w:val="00595613"/>
    <w:rsid w:val="00595DCA"/>
    <w:rsid w:val="0059779B"/>
    <w:rsid w:val="005A0C34"/>
    <w:rsid w:val="005A1557"/>
    <w:rsid w:val="005A209A"/>
    <w:rsid w:val="005A5B6F"/>
    <w:rsid w:val="005A662D"/>
    <w:rsid w:val="005B35D7"/>
    <w:rsid w:val="005B392A"/>
    <w:rsid w:val="005B3AA3"/>
    <w:rsid w:val="005B66F5"/>
    <w:rsid w:val="005B6F83"/>
    <w:rsid w:val="005C0F3B"/>
    <w:rsid w:val="005C74FB"/>
    <w:rsid w:val="005D1602"/>
    <w:rsid w:val="005E385F"/>
    <w:rsid w:val="005E5B81"/>
    <w:rsid w:val="005F2CB1"/>
    <w:rsid w:val="005F3025"/>
    <w:rsid w:val="005F3E9F"/>
    <w:rsid w:val="005F4D03"/>
    <w:rsid w:val="005F618C"/>
    <w:rsid w:val="005F70BD"/>
    <w:rsid w:val="0060283C"/>
    <w:rsid w:val="00604F14"/>
    <w:rsid w:val="00605F62"/>
    <w:rsid w:val="00605F6D"/>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7B90"/>
    <w:rsid w:val="00650AB9"/>
    <w:rsid w:val="00655733"/>
    <w:rsid w:val="00655ACD"/>
    <w:rsid w:val="00656A92"/>
    <w:rsid w:val="00656DDE"/>
    <w:rsid w:val="0066011D"/>
    <w:rsid w:val="0066055D"/>
    <w:rsid w:val="006607C0"/>
    <w:rsid w:val="006613A6"/>
    <w:rsid w:val="00662611"/>
    <w:rsid w:val="006627A2"/>
    <w:rsid w:val="006634E6"/>
    <w:rsid w:val="00663507"/>
    <w:rsid w:val="006655EE"/>
    <w:rsid w:val="00667EE7"/>
    <w:rsid w:val="00670922"/>
    <w:rsid w:val="00670BE1"/>
    <w:rsid w:val="00671A98"/>
    <w:rsid w:val="0067218F"/>
    <w:rsid w:val="006741F2"/>
    <w:rsid w:val="00674CC3"/>
    <w:rsid w:val="00675C72"/>
    <w:rsid w:val="006771F9"/>
    <w:rsid w:val="006776D7"/>
    <w:rsid w:val="00681003"/>
    <w:rsid w:val="006817C9"/>
    <w:rsid w:val="00683ECE"/>
    <w:rsid w:val="00684E01"/>
    <w:rsid w:val="00690D32"/>
    <w:rsid w:val="00695FC2"/>
    <w:rsid w:val="00696949"/>
    <w:rsid w:val="00697052"/>
    <w:rsid w:val="006A46FB"/>
    <w:rsid w:val="006A5E28"/>
    <w:rsid w:val="006A697B"/>
    <w:rsid w:val="006A7AFF"/>
    <w:rsid w:val="006B1816"/>
    <w:rsid w:val="006B2099"/>
    <w:rsid w:val="006B50CF"/>
    <w:rsid w:val="006B60E4"/>
    <w:rsid w:val="006C03B8"/>
    <w:rsid w:val="006C370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734D"/>
    <w:rsid w:val="0070346E"/>
    <w:rsid w:val="00704EDB"/>
    <w:rsid w:val="0070537F"/>
    <w:rsid w:val="00706101"/>
    <w:rsid w:val="00707072"/>
    <w:rsid w:val="00707D61"/>
    <w:rsid w:val="00712287"/>
    <w:rsid w:val="00712772"/>
    <w:rsid w:val="007148D3"/>
    <w:rsid w:val="00715B9A"/>
    <w:rsid w:val="00721593"/>
    <w:rsid w:val="007240F3"/>
    <w:rsid w:val="00726EA6"/>
    <w:rsid w:val="00727208"/>
    <w:rsid w:val="00727680"/>
    <w:rsid w:val="007348B1"/>
    <w:rsid w:val="00734B23"/>
    <w:rsid w:val="007362A6"/>
    <w:rsid w:val="00736D7D"/>
    <w:rsid w:val="00740E58"/>
    <w:rsid w:val="007443CF"/>
    <w:rsid w:val="007445A0"/>
    <w:rsid w:val="0074524B"/>
    <w:rsid w:val="00747D8B"/>
    <w:rsid w:val="00751228"/>
    <w:rsid w:val="007571E1"/>
    <w:rsid w:val="007604B2"/>
    <w:rsid w:val="00762022"/>
    <w:rsid w:val="00762FEA"/>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DC2"/>
    <w:rsid w:val="007B2B45"/>
    <w:rsid w:val="007B3D2D"/>
    <w:rsid w:val="007B50AE"/>
    <w:rsid w:val="007B51DF"/>
    <w:rsid w:val="007B5A37"/>
    <w:rsid w:val="007B6A6B"/>
    <w:rsid w:val="007C05DD"/>
    <w:rsid w:val="007C1870"/>
    <w:rsid w:val="007C3D18"/>
    <w:rsid w:val="007C60BF"/>
    <w:rsid w:val="007C6A07"/>
    <w:rsid w:val="007C75A1"/>
    <w:rsid w:val="007C77A5"/>
    <w:rsid w:val="007D04E5"/>
    <w:rsid w:val="007D0A22"/>
    <w:rsid w:val="007D4009"/>
    <w:rsid w:val="007D5901"/>
    <w:rsid w:val="007D7526"/>
    <w:rsid w:val="007D7D02"/>
    <w:rsid w:val="007E4610"/>
    <w:rsid w:val="007E4715"/>
    <w:rsid w:val="007E505B"/>
    <w:rsid w:val="007E7091"/>
    <w:rsid w:val="007F02E0"/>
    <w:rsid w:val="00801BF4"/>
    <w:rsid w:val="008036A1"/>
    <w:rsid w:val="00803FAE"/>
    <w:rsid w:val="0080605F"/>
    <w:rsid w:val="00807786"/>
    <w:rsid w:val="00810895"/>
    <w:rsid w:val="00811FCB"/>
    <w:rsid w:val="008158D6"/>
    <w:rsid w:val="00817196"/>
    <w:rsid w:val="00817EDE"/>
    <w:rsid w:val="00821944"/>
    <w:rsid w:val="008235DB"/>
    <w:rsid w:val="00824AB4"/>
    <w:rsid w:val="00825C42"/>
    <w:rsid w:val="00825D25"/>
    <w:rsid w:val="00827D6F"/>
    <w:rsid w:val="008376AC"/>
    <w:rsid w:val="008444E8"/>
    <w:rsid w:val="00844E80"/>
    <w:rsid w:val="00846FE7"/>
    <w:rsid w:val="00850CEC"/>
    <w:rsid w:val="00856911"/>
    <w:rsid w:val="00863713"/>
    <w:rsid w:val="008677FD"/>
    <w:rsid w:val="008706D4"/>
    <w:rsid w:val="00870F8A"/>
    <w:rsid w:val="008719A4"/>
    <w:rsid w:val="00871D23"/>
    <w:rsid w:val="00874312"/>
    <w:rsid w:val="0087437C"/>
    <w:rsid w:val="008745CA"/>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7C8"/>
    <w:rsid w:val="008C2017"/>
    <w:rsid w:val="008C4958"/>
    <w:rsid w:val="008C4BAA"/>
    <w:rsid w:val="008C6AE8"/>
    <w:rsid w:val="008C7573"/>
    <w:rsid w:val="008D1D7C"/>
    <w:rsid w:val="008D34F1"/>
    <w:rsid w:val="008D36A8"/>
    <w:rsid w:val="008D39D8"/>
    <w:rsid w:val="008D6D1A"/>
    <w:rsid w:val="008E0199"/>
    <w:rsid w:val="008E065E"/>
    <w:rsid w:val="008E0927"/>
    <w:rsid w:val="008E1909"/>
    <w:rsid w:val="008F1EAB"/>
    <w:rsid w:val="008F33DC"/>
    <w:rsid w:val="008F432B"/>
    <w:rsid w:val="008F4475"/>
    <w:rsid w:val="008F477F"/>
    <w:rsid w:val="009020F5"/>
    <w:rsid w:val="00902350"/>
    <w:rsid w:val="0090336B"/>
    <w:rsid w:val="009053AA"/>
    <w:rsid w:val="00906939"/>
    <w:rsid w:val="00910B7D"/>
    <w:rsid w:val="00911DFB"/>
    <w:rsid w:val="009139D9"/>
    <w:rsid w:val="00914AD8"/>
    <w:rsid w:val="009153DF"/>
    <w:rsid w:val="00916079"/>
    <w:rsid w:val="0091629A"/>
    <w:rsid w:val="00917CE9"/>
    <w:rsid w:val="00920BF2"/>
    <w:rsid w:val="00922010"/>
    <w:rsid w:val="00926AC8"/>
    <w:rsid w:val="00926B3B"/>
    <w:rsid w:val="00931BD9"/>
    <w:rsid w:val="00933613"/>
    <w:rsid w:val="009368F3"/>
    <w:rsid w:val="00941636"/>
    <w:rsid w:val="009417B6"/>
    <w:rsid w:val="00943742"/>
    <w:rsid w:val="00945C05"/>
    <w:rsid w:val="00946945"/>
    <w:rsid w:val="00947713"/>
    <w:rsid w:val="00950DE7"/>
    <w:rsid w:val="00953920"/>
    <w:rsid w:val="00953D47"/>
    <w:rsid w:val="0095681E"/>
    <w:rsid w:val="009572D4"/>
    <w:rsid w:val="00960D3A"/>
    <w:rsid w:val="00961921"/>
    <w:rsid w:val="0096430A"/>
    <w:rsid w:val="0096554B"/>
    <w:rsid w:val="0096584A"/>
    <w:rsid w:val="00971F08"/>
    <w:rsid w:val="00974EA1"/>
    <w:rsid w:val="0097603D"/>
    <w:rsid w:val="00976949"/>
    <w:rsid w:val="00980477"/>
    <w:rsid w:val="009839BF"/>
    <w:rsid w:val="00983ECC"/>
    <w:rsid w:val="00985253"/>
    <w:rsid w:val="009853B3"/>
    <w:rsid w:val="00990630"/>
    <w:rsid w:val="00991761"/>
    <w:rsid w:val="00994DCA"/>
    <w:rsid w:val="009960EC"/>
    <w:rsid w:val="009970DD"/>
    <w:rsid w:val="009A0FBA"/>
    <w:rsid w:val="009A1601"/>
    <w:rsid w:val="009A462D"/>
    <w:rsid w:val="009A5CBA"/>
    <w:rsid w:val="009B0CB5"/>
    <w:rsid w:val="009B1F30"/>
    <w:rsid w:val="009B3AC2"/>
    <w:rsid w:val="009B4DF4"/>
    <w:rsid w:val="009B564E"/>
    <w:rsid w:val="009B7A38"/>
    <w:rsid w:val="009B7E87"/>
    <w:rsid w:val="009C403E"/>
    <w:rsid w:val="009D1A3B"/>
    <w:rsid w:val="009D4FF0"/>
    <w:rsid w:val="009D5A94"/>
    <w:rsid w:val="009D703C"/>
    <w:rsid w:val="009D718F"/>
    <w:rsid w:val="009D7446"/>
    <w:rsid w:val="009E068F"/>
    <w:rsid w:val="009E14E0"/>
    <w:rsid w:val="009E35DB"/>
    <w:rsid w:val="009E47A3"/>
    <w:rsid w:val="009F08F3"/>
    <w:rsid w:val="009F344F"/>
    <w:rsid w:val="00A048A8"/>
    <w:rsid w:val="00A04F49"/>
    <w:rsid w:val="00A12A5D"/>
    <w:rsid w:val="00A13E54"/>
    <w:rsid w:val="00A17F63"/>
    <w:rsid w:val="00A2193B"/>
    <w:rsid w:val="00A2351A"/>
    <w:rsid w:val="00A264A9"/>
    <w:rsid w:val="00A27785"/>
    <w:rsid w:val="00A30187"/>
    <w:rsid w:val="00A3448A"/>
    <w:rsid w:val="00A36297"/>
    <w:rsid w:val="00A41E2B"/>
    <w:rsid w:val="00A45B74"/>
    <w:rsid w:val="00A4726D"/>
    <w:rsid w:val="00A52E1D"/>
    <w:rsid w:val="00A57A41"/>
    <w:rsid w:val="00A61499"/>
    <w:rsid w:val="00A62A77"/>
    <w:rsid w:val="00A63483"/>
    <w:rsid w:val="00A641A6"/>
    <w:rsid w:val="00A657D7"/>
    <w:rsid w:val="00A660AC"/>
    <w:rsid w:val="00A67E6C"/>
    <w:rsid w:val="00A71B99"/>
    <w:rsid w:val="00A739D0"/>
    <w:rsid w:val="00A761D4"/>
    <w:rsid w:val="00A77EC4"/>
    <w:rsid w:val="00A85262"/>
    <w:rsid w:val="00A92879"/>
    <w:rsid w:val="00A9442A"/>
    <w:rsid w:val="00AA016F"/>
    <w:rsid w:val="00AA1ED6"/>
    <w:rsid w:val="00AA51D6"/>
    <w:rsid w:val="00AB0BC8"/>
    <w:rsid w:val="00AB11CA"/>
    <w:rsid w:val="00AB14D9"/>
    <w:rsid w:val="00AB3C7B"/>
    <w:rsid w:val="00AB4AB8"/>
    <w:rsid w:val="00AB655E"/>
    <w:rsid w:val="00AC007F"/>
    <w:rsid w:val="00AC2ECD"/>
    <w:rsid w:val="00AC3119"/>
    <w:rsid w:val="00AC3CFF"/>
    <w:rsid w:val="00AC49FB"/>
    <w:rsid w:val="00AC4F5A"/>
    <w:rsid w:val="00AC5A10"/>
    <w:rsid w:val="00AD0AA3"/>
    <w:rsid w:val="00AD3C95"/>
    <w:rsid w:val="00AD3F94"/>
    <w:rsid w:val="00AD4A5A"/>
    <w:rsid w:val="00AE27AC"/>
    <w:rsid w:val="00AE40E0"/>
    <w:rsid w:val="00AE4DBA"/>
    <w:rsid w:val="00AE4F07"/>
    <w:rsid w:val="00AF1C5D"/>
    <w:rsid w:val="00AF42D7"/>
    <w:rsid w:val="00B006FE"/>
    <w:rsid w:val="00B007CB"/>
    <w:rsid w:val="00B026E4"/>
    <w:rsid w:val="00B02AA9"/>
    <w:rsid w:val="00B02FA3"/>
    <w:rsid w:val="00B05084"/>
    <w:rsid w:val="00B157F9"/>
    <w:rsid w:val="00B167F1"/>
    <w:rsid w:val="00B20256"/>
    <w:rsid w:val="00B20D09"/>
    <w:rsid w:val="00B2763F"/>
    <w:rsid w:val="00B27AAC"/>
    <w:rsid w:val="00B30929"/>
    <w:rsid w:val="00B372AA"/>
    <w:rsid w:val="00B40445"/>
    <w:rsid w:val="00B41888"/>
    <w:rsid w:val="00B45A52"/>
    <w:rsid w:val="00B46175"/>
    <w:rsid w:val="00B5677F"/>
    <w:rsid w:val="00B62AAA"/>
    <w:rsid w:val="00B63AAD"/>
    <w:rsid w:val="00B664C7"/>
    <w:rsid w:val="00B6692D"/>
    <w:rsid w:val="00B739F6"/>
    <w:rsid w:val="00B74FF2"/>
    <w:rsid w:val="00B81A6C"/>
    <w:rsid w:val="00B85DE5"/>
    <w:rsid w:val="00B90F73"/>
    <w:rsid w:val="00B93756"/>
    <w:rsid w:val="00B93B59"/>
    <w:rsid w:val="00B9406A"/>
    <w:rsid w:val="00BA098F"/>
    <w:rsid w:val="00BA2280"/>
    <w:rsid w:val="00BA2A08"/>
    <w:rsid w:val="00BA56D2"/>
    <w:rsid w:val="00BA76E0"/>
    <w:rsid w:val="00BB1BEC"/>
    <w:rsid w:val="00BB2A25"/>
    <w:rsid w:val="00BB51E9"/>
    <w:rsid w:val="00BC0FDC"/>
    <w:rsid w:val="00BC3053"/>
    <w:rsid w:val="00BC4D2E"/>
    <w:rsid w:val="00BD48AC"/>
    <w:rsid w:val="00BD5F1A"/>
    <w:rsid w:val="00BE1234"/>
    <w:rsid w:val="00BE2FA6"/>
    <w:rsid w:val="00BE333F"/>
    <w:rsid w:val="00BE7406"/>
    <w:rsid w:val="00BE7603"/>
    <w:rsid w:val="00BF0E3A"/>
    <w:rsid w:val="00BF3279"/>
    <w:rsid w:val="00BF3FD3"/>
    <w:rsid w:val="00BF4552"/>
    <w:rsid w:val="00BF5EC1"/>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57BE8"/>
    <w:rsid w:val="00C60783"/>
    <w:rsid w:val="00C610EE"/>
    <w:rsid w:val="00C64400"/>
    <w:rsid w:val="00C64672"/>
    <w:rsid w:val="00C70697"/>
    <w:rsid w:val="00C72EF4"/>
    <w:rsid w:val="00C73F6D"/>
    <w:rsid w:val="00C75D2F"/>
    <w:rsid w:val="00C767BE"/>
    <w:rsid w:val="00C76963"/>
    <w:rsid w:val="00C76E3C"/>
    <w:rsid w:val="00C81568"/>
    <w:rsid w:val="00C8756C"/>
    <w:rsid w:val="00C9027A"/>
    <w:rsid w:val="00C9068E"/>
    <w:rsid w:val="00C92AB1"/>
    <w:rsid w:val="00C93C4B"/>
    <w:rsid w:val="00C944AB"/>
    <w:rsid w:val="00C94B26"/>
    <w:rsid w:val="00C95B40"/>
    <w:rsid w:val="00CA1ED8"/>
    <w:rsid w:val="00CB1F63"/>
    <w:rsid w:val="00CB7170"/>
    <w:rsid w:val="00CC040E"/>
    <w:rsid w:val="00CC111F"/>
    <w:rsid w:val="00CC1FAF"/>
    <w:rsid w:val="00CC2011"/>
    <w:rsid w:val="00CC3EA0"/>
    <w:rsid w:val="00CC5D0F"/>
    <w:rsid w:val="00CC7B45"/>
    <w:rsid w:val="00CD0E43"/>
    <w:rsid w:val="00CD1188"/>
    <w:rsid w:val="00CD1645"/>
    <w:rsid w:val="00CD2310"/>
    <w:rsid w:val="00CD2ED1"/>
    <w:rsid w:val="00CD337B"/>
    <w:rsid w:val="00CD774B"/>
    <w:rsid w:val="00CD7D13"/>
    <w:rsid w:val="00CE0424"/>
    <w:rsid w:val="00CE4578"/>
    <w:rsid w:val="00CE7561"/>
    <w:rsid w:val="00CF1354"/>
    <w:rsid w:val="00CF34F5"/>
    <w:rsid w:val="00CF3B1F"/>
    <w:rsid w:val="00CF3BF6"/>
    <w:rsid w:val="00CF625B"/>
    <w:rsid w:val="00CF687E"/>
    <w:rsid w:val="00D0349B"/>
    <w:rsid w:val="00D04434"/>
    <w:rsid w:val="00D04BD0"/>
    <w:rsid w:val="00D10249"/>
    <w:rsid w:val="00D115C3"/>
    <w:rsid w:val="00D11897"/>
    <w:rsid w:val="00D13135"/>
    <w:rsid w:val="00D13E4E"/>
    <w:rsid w:val="00D2289A"/>
    <w:rsid w:val="00D23855"/>
    <w:rsid w:val="00D239A7"/>
    <w:rsid w:val="00D23F47"/>
    <w:rsid w:val="00D3005B"/>
    <w:rsid w:val="00D36E71"/>
    <w:rsid w:val="00D37D87"/>
    <w:rsid w:val="00D40B33"/>
    <w:rsid w:val="00D4318F"/>
    <w:rsid w:val="00D438BF"/>
    <w:rsid w:val="00D440F8"/>
    <w:rsid w:val="00D4799E"/>
    <w:rsid w:val="00D546FF"/>
    <w:rsid w:val="00D55155"/>
    <w:rsid w:val="00D55AD5"/>
    <w:rsid w:val="00D576CA"/>
    <w:rsid w:val="00D60E13"/>
    <w:rsid w:val="00D61AF5"/>
    <w:rsid w:val="00D62CD5"/>
    <w:rsid w:val="00D6435F"/>
    <w:rsid w:val="00D652B5"/>
    <w:rsid w:val="00D66155"/>
    <w:rsid w:val="00D708B0"/>
    <w:rsid w:val="00D77273"/>
    <w:rsid w:val="00D77B1D"/>
    <w:rsid w:val="00D8021F"/>
    <w:rsid w:val="00D80383"/>
    <w:rsid w:val="00D823C6"/>
    <w:rsid w:val="00D8687A"/>
    <w:rsid w:val="00D86CA3"/>
    <w:rsid w:val="00D871CE"/>
    <w:rsid w:val="00D9196D"/>
    <w:rsid w:val="00D92982"/>
    <w:rsid w:val="00D93BF1"/>
    <w:rsid w:val="00DA305E"/>
    <w:rsid w:val="00DA5007"/>
    <w:rsid w:val="00DA5417"/>
    <w:rsid w:val="00DA56E8"/>
    <w:rsid w:val="00DB0A9F"/>
    <w:rsid w:val="00DB377D"/>
    <w:rsid w:val="00DC0BCD"/>
    <w:rsid w:val="00DC2D36"/>
    <w:rsid w:val="00DC53EF"/>
    <w:rsid w:val="00DE5608"/>
    <w:rsid w:val="00DE58D0"/>
    <w:rsid w:val="00DE654F"/>
    <w:rsid w:val="00DF0B6E"/>
    <w:rsid w:val="00DF15E0"/>
    <w:rsid w:val="00DF37A0"/>
    <w:rsid w:val="00E06B76"/>
    <w:rsid w:val="00E110E7"/>
    <w:rsid w:val="00E11B20"/>
    <w:rsid w:val="00E133B1"/>
    <w:rsid w:val="00E17FA2"/>
    <w:rsid w:val="00E22330"/>
    <w:rsid w:val="00E23A08"/>
    <w:rsid w:val="00E30B5A"/>
    <w:rsid w:val="00E3123D"/>
    <w:rsid w:val="00E31461"/>
    <w:rsid w:val="00E31D43"/>
    <w:rsid w:val="00E32608"/>
    <w:rsid w:val="00E34188"/>
    <w:rsid w:val="00E345CD"/>
    <w:rsid w:val="00E34B6E"/>
    <w:rsid w:val="00E35559"/>
    <w:rsid w:val="00E3723A"/>
    <w:rsid w:val="00E37860"/>
    <w:rsid w:val="00E37F19"/>
    <w:rsid w:val="00E446F1"/>
    <w:rsid w:val="00E461B8"/>
    <w:rsid w:val="00E46886"/>
    <w:rsid w:val="00E47AEF"/>
    <w:rsid w:val="00E53B75"/>
    <w:rsid w:val="00E54E3B"/>
    <w:rsid w:val="00E54F90"/>
    <w:rsid w:val="00E57565"/>
    <w:rsid w:val="00E63838"/>
    <w:rsid w:val="00E64434"/>
    <w:rsid w:val="00E67C51"/>
    <w:rsid w:val="00E72EFC"/>
    <w:rsid w:val="00E73EA1"/>
    <w:rsid w:val="00E758EC"/>
    <w:rsid w:val="00E8234C"/>
    <w:rsid w:val="00E83AA9"/>
    <w:rsid w:val="00E85928"/>
    <w:rsid w:val="00E87822"/>
    <w:rsid w:val="00E90395"/>
    <w:rsid w:val="00E90E49"/>
    <w:rsid w:val="00E917F9"/>
    <w:rsid w:val="00E9291C"/>
    <w:rsid w:val="00E93FFE"/>
    <w:rsid w:val="00E94F8A"/>
    <w:rsid w:val="00E96D27"/>
    <w:rsid w:val="00EA7A41"/>
    <w:rsid w:val="00EB077B"/>
    <w:rsid w:val="00EB4EA2"/>
    <w:rsid w:val="00EC27C6"/>
    <w:rsid w:val="00EC4207"/>
    <w:rsid w:val="00EC5653"/>
    <w:rsid w:val="00EC60B5"/>
    <w:rsid w:val="00EC71CE"/>
    <w:rsid w:val="00ED0CF0"/>
    <w:rsid w:val="00ED1006"/>
    <w:rsid w:val="00EF18FE"/>
    <w:rsid w:val="00EF49B7"/>
    <w:rsid w:val="00EF5787"/>
    <w:rsid w:val="00EF60D0"/>
    <w:rsid w:val="00F0528D"/>
    <w:rsid w:val="00F06C67"/>
    <w:rsid w:val="00F06DFD"/>
    <w:rsid w:val="00F071D1"/>
    <w:rsid w:val="00F07533"/>
    <w:rsid w:val="00F07B07"/>
    <w:rsid w:val="00F10629"/>
    <w:rsid w:val="00F1162F"/>
    <w:rsid w:val="00F15FA5"/>
    <w:rsid w:val="00F209B7"/>
    <w:rsid w:val="00F22987"/>
    <w:rsid w:val="00F2376F"/>
    <w:rsid w:val="00F243D8"/>
    <w:rsid w:val="00F30243"/>
    <w:rsid w:val="00F30828"/>
    <w:rsid w:val="00F313D6"/>
    <w:rsid w:val="00F32144"/>
    <w:rsid w:val="00F40F0C"/>
    <w:rsid w:val="00F4766C"/>
    <w:rsid w:val="00F507D1"/>
    <w:rsid w:val="00F519CE"/>
    <w:rsid w:val="00F51ADA"/>
    <w:rsid w:val="00F55D8D"/>
    <w:rsid w:val="00F607C5"/>
    <w:rsid w:val="00F60DEA"/>
    <w:rsid w:val="00F62CD9"/>
    <w:rsid w:val="00F6302A"/>
    <w:rsid w:val="00F645A9"/>
    <w:rsid w:val="00F64C2B"/>
    <w:rsid w:val="00F651BE"/>
    <w:rsid w:val="00F67F53"/>
    <w:rsid w:val="00F703BE"/>
    <w:rsid w:val="00F71F69"/>
    <w:rsid w:val="00F72B72"/>
    <w:rsid w:val="00F7463B"/>
    <w:rsid w:val="00F74BB9"/>
    <w:rsid w:val="00F75582"/>
    <w:rsid w:val="00F75A7F"/>
    <w:rsid w:val="00F76EFA"/>
    <w:rsid w:val="00F804BE"/>
    <w:rsid w:val="00F817CE"/>
    <w:rsid w:val="00F8456C"/>
    <w:rsid w:val="00F8551A"/>
    <w:rsid w:val="00F859D8"/>
    <w:rsid w:val="00F868F5"/>
    <w:rsid w:val="00F9056A"/>
    <w:rsid w:val="00F90F8D"/>
    <w:rsid w:val="00F91A12"/>
    <w:rsid w:val="00F92782"/>
    <w:rsid w:val="00F93AA9"/>
    <w:rsid w:val="00F96985"/>
    <w:rsid w:val="00F97838"/>
    <w:rsid w:val="00FA2BB3"/>
    <w:rsid w:val="00FB4C80"/>
    <w:rsid w:val="00FB6A6A"/>
    <w:rsid w:val="00FC4AD0"/>
    <w:rsid w:val="00FC7429"/>
    <w:rsid w:val="00FD07F6"/>
    <w:rsid w:val="00FD1EC8"/>
    <w:rsid w:val="00FD3F6B"/>
    <w:rsid w:val="00FD3FB3"/>
    <w:rsid w:val="00FD47ED"/>
    <w:rsid w:val="00FD74DB"/>
    <w:rsid w:val="00FD7660"/>
    <w:rsid w:val="00FE0655"/>
    <w:rsid w:val="00FE15B3"/>
    <w:rsid w:val="00FE2365"/>
    <w:rsid w:val="00FE4C7B"/>
    <w:rsid w:val="00FE7336"/>
    <w:rsid w:val="00FE787C"/>
    <w:rsid w:val="00FF242F"/>
    <w:rsid w:val="00FF45A5"/>
    <w:rsid w:val="00FF550A"/>
    <w:rsid w:val="00FF5C91"/>
    <w:rsid w:val="00FF792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5B3818"/>
  <w15:docId w15:val="{30D6AEFF-064B-44A2-AEF7-B3565F671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0B5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C0B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C0B5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C0B5E"/>
    <w:pPr>
      <w:numPr>
        <w:ilvl w:val="2"/>
      </w:numPr>
      <w:spacing w:before="120"/>
      <w:outlineLvl w:val="2"/>
    </w:pPr>
    <w:rPr>
      <w:sz w:val="28"/>
      <w:szCs w:val="28"/>
    </w:rPr>
  </w:style>
  <w:style w:type="paragraph" w:styleId="Heading4">
    <w:name w:val="heading 4"/>
    <w:basedOn w:val="Heading3"/>
    <w:next w:val="Normal"/>
    <w:qFormat/>
    <w:rsid w:val="004C0B5E"/>
    <w:pPr>
      <w:numPr>
        <w:ilvl w:val="3"/>
      </w:numPr>
      <w:outlineLvl w:val="3"/>
    </w:pPr>
    <w:rPr>
      <w:sz w:val="24"/>
      <w:szCs w:val="24"/>
    </w:rPr>
  </w:style>
  <w:style w:type="paragraph" w:styleId="Heading5">
    <w:name w:val="heading 5"/>
    <w:basedOn w:val="Heading4"/>
    <w:next w:val="Normal"/>
    <w:qFormat/>
    <w:rsid w:val="004C0B5E"/>
    <w:pPr>
      <w:numPr>
        <w:ilvl w:val="4"/>
      </w:numPr>
      <w:outlineLvl w:val="4"/>
    </w:pPr>
    <w:rPr>
      <w:sz w:val="22"/>
      <w:szCs w:val="22"/>
    </w:rPr>
  </w:style>
  <w:style w:type="paragraph" w:styleId="Heading6">
    <w:name w:val="heading 6"/>
    <w:basedOn w:val="Normal"/>
    <w:next w:val="Normal"/>
    <w:qFormat/>
    <w:rsid w:val="004C0B5E"/>
    <w:pPr>
      <w:keepNext/>
      <w:keepLines/>
      <w:numPr>
        <w:ilvl w:val="5"/>
        <w:numId w:val="1"/>
      </w:numPr>
      <w:spacing w:before="120"/>
      <w:outlineLvl w:val="5"/>
    </w:pPr>
    <w:rPr>
      <w:rFonts w:cs="Arial"/>
    </w:rPr>
  </w:style>
  <w:style w:type="paragraph" w:styleId="Heading7">
    <w:name w:val="heading 7"/>
    <w:basedOn w:val="Normal"/>
    <w:next w:val="Normal"/>
    <w:qFormat/>
    <w:rsid w:val="004C0B5E"/>
    <w:pPr>
      <w:keepNext/>
      <w:keepLines/>
      <w:numPr>
        <w:ilvl w:val="6"/>
        <w:numId w:val="1"/>
      </w:numPr>
      <w:spacing w:before="120"/>
      <w:outlineLvl w:val="6"/>
    </w:pPr>
    <w:rPr>
      <w:rFonts w:cs="Arial"/>
    </w:rPr>
  </w:style>
  <w:style w:type="paragraph" w:styleId="Heading8">
    <w:name w:val="heading 8"/>
    <w:basedOn w:val="Heading7"/>
    <w:next w:val="Normal"/>
    <w:qFormat/>
    <w:rsid w:val="004C0B5E"/>
    <w:pPr>
      <w:numPr>
        <w:ilvl w:val="7"/>
      </w:numPr>
      <w:outlineLvl w:val="7"/>
    </w:pPr>
  </w:style>
  <w:style w:type="paragraph" w:styleId="Heading9">
    <w:name w:val="heading 9"/>
    <w:basedOn w:val="Heading8"/>
    <w:next w:val="Normal"/>
    <w:qFormat/>
    <w:rsid w:val="004C0B5E"/>
    <w:pPr>
      <w:numPr>
        <w:ilvl w:val="8"/>
      </w:numPr>
      <w:outlineLvl w:val="8"/>
    </w:pPr>
  </w:style>
  <w:style w:type="character" w:default="1" w:styleId="DefaultParagraphFont">
    <w:name w:val="Default Paragraph Font"/>
    <w:semiHidden/>
    <w:rsid w:val="004C0B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4C0B5E"/>
  </w:style>
  <w:style w:type="paragraph" w:styleId="TOC8">
    <w:name w:val="toc 8"/>
    <w:basedOn w:val="TOC1"/>
    <w:semiHidden/>
    <w:rsid w:val="004C0B5E"/>
    <w:pPr>
      <w:spacing w:before="180"/>
      <w:ind w:left="2693" w:hanging="2693"/>
    </w:pPr>
    <w:rPr>
      <w:b w:val="0"/>
      <w:bCs/>
    </w:rPr>
  </w:style>
  <w:style w:type="paragraph" w:styleId="TOC1">
    <w:name w:val="toc 1"/>
    <w:aliases w:val="Observation TOC2"/>
    <w:uiPriority w:val="39"/>
    <w:rsid w:val="004C0B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4C0B5E"/>
    <w:pPr>
      <w:keepNext/>
      <w:keepLines/>
      <w:spacing w:before="180"/>
      <w:jc w:val="center"/>
    </w:pPr>
  </w:style>
  <w:style w:type="paragraph" w:styleId="Caption">
    <w:name w:val="caption"/>
    <w:basedOn w:val="Normal"/>
    <w:next w:val="Normal"/>
    <w:qFormat/>
    <w:rsid w:val="004C0B5E"/>
    <w:pPr>
      <w:spacing w:after="240"/>
      <w:jc w:val="center"/>
    </w:pPr>
    <w:rPr>
      <w:b/>
      <w:bCs/>
    </w:rPr>
  </w:style>
  <w:style w:type="paragraph" w:styleId="TOC5">
    <w:name w:val="toc 5"/>
    <w:aliases w:val="Observation TOC"/>
    <w:basedOn w:val="TOC4"/>
    <w:semiHidden/>
    <w:rsid w:val="004C0B5E"/>
    <w:pPr>
      <w:tabs>
        <w:tab w:val="right" w:pos="1701"/>
      </w:tabs>
      <w:ind w:left="1701" w:hanging="1701"/>
    </w:pPr>
  </w:style>
  <w:style w:type="paragraph" w:styleId="TOC4">
    <w:name w:val="toc 4"/>
    <w:basedOn w:val="TOC3"/>
    <w:semiHidden/>
    <w:rsid w:val="004C0B5E"/>
    <w:pPr>
      <w:ind w:left="1418" w:hanging="1418"/>
    </w:pPr>
  </w:style>
  <w:style w:type="paragraph" w:styleId="TOC3">
    <w:name w:val="toc 3"/>
    <w:basedOn w:val="TOC2"/>
    <w:semiHidden/>
    <w:rsid w:val="004C0B5E"/>
    <w:pPr>
      <w:ind w:left="1134" w:hanging="1134"/>
    </w:pPr>
  </w:style>
  <w:style w:type="paragraph" w:styleId="TOC2">
    <w:name w:val="toc 2"/>
    <w:basedOn w:val="TOC1"/>
    <w:semiHidden/>
    <w:rsid w:val="004C0B5E"/>
    <w:pPr>
      <w:keepNext w:val="0"/>
      <w:spacing w:before="0"/>
      <w:ind w:left="851" w:hanging="851"/>
    </w:pPr>
    <w:rPr>
      <w:szCs w:val="20"/>
    </w:rPr>
  </w:style>
  <w:style w:type="paragraph" w:styleId="Index2">
    <w:name w:val="index 2"/>
    <w:basedOn w:val="Index1"/>
    <w:semiHidden/>
    <w:rsid w:val="004C0B5E"/>
    <w:pPr>
      <w:ind w:left="284"/>
    </w:pPr>
  </w:style>
  <w:style w:type="paragraph" w:styleId="Index1">
    <w:name w:val="index 1"/>
    <w:basedOn w:val="Normal"/>
    <w:semiHidden/>
    <w:rsid w:val="004C0B5E"/>
    <w:pPr>
      <w:keepLines/>
      <w:spacing w:after="0"/>
    </w:pPr>
  </w:style>
  <w:style w:type="paragraph" w:styleId="DocumentMap">
    <w:name w:val="Document Map"/>
    <w:basedOn w:val="Normal"/>
    <w:semiHidden/>
    <w:rsid w:val="004C0B5E"/>
    <w:pPr>
      <w:shd w:val="clear" w:color="auto" w:fill="000080"/>
    </w:pPr>
    <w:rPr>
      <w:rFonts w:ascii="Tahoma" w:hAnsi="Tahoma" w:cs="Tahoma"/>
    </w:rPr>
  </w:style>
  <w:style w:type="paragraph" w:styleId="ListNumber2">
    <w:name w:val="List Number 2"/>
    <w:basedOn w:val="ListNumber"/>
    <w:rsid w:val="004C0B5E"/>
    <w:pPr>
      <w:ind w:left="851"/>
    </w:pPr>
  </w:style>
  <w:style w:type="paragraph" w:styleId="ListNumber">
    <w:name w:val="List Number"/>
    <w:basedOn w:val="List"/>
    <w:rsid w:val="004C0B5E"/>
  </w:style>
  <w:style w:type="paragraph" w:styleId="List">
    <w:name w:val="List"/>
    <w:basedOn w:val="Normal"/>
    <w:rsid w:val="004C0B5E"/>
    <w:pPr>
      <w:ind w:left="568" w:hanging="284"/>
    </w:pPr>
  </w:style>
  <w:style w:type="paragraph" w:styleId="Header">
    <w:name w:val="header"/>
    <w:rsid w:val="004C0B5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4C0B5E"/>
    <w:rPr>
      <w:b/>
      <w:bCs/>
      <w:position w:val="6"/>
      <w:sz w:val="16"/>
      <w:szCs w:val="16"/>
    </w:rPr>
  </w:style>
  <w:style w:type="paragraph" w:styleId="FootnoteText">
    <w:name w:val="footnote text"/>
    <w:basedOn w:val="Normal"/>
    <w:semiHidden/>
    <w:rsid w:val="004C0B5E"/>
    <w:pPr>
      <w:keepLines/>
      <w:spacing w:after="0"/>
      <w:ind w:left="454" w:hanging="454"/>
    </w:pPr>
    <w:rPr>
      <w:sz w:val="16"/>
      <w:szCs w:val="16"/>
    </w:rPr>
  </w:style>
  <w:style w:type="paragraph" w:customStyle="1" w:styleId="3GPPHeader">
    <w:name w:val="3GPP_Header"/>
    <w:basedOn w:val="Normal"/>
    <w:rsid w:val="004C0B5E"/>
    <w:pPr>
      <w:tabs>
        <w:tab w:val="left" w:pos="1701"/>
        <w:tab w:val="right" w:pos="9639"/>
      </w:tabs>
      <w:spacing w:after="240"/>
    </w:pPr>
    <w:rPr>
      <w:b/>
      <w:sz w:val="24"/>
    </w:rPr>
  </w:style>
  <w:style w:type="paragraph" w:styleId="TOC9">
    <w:name w:val="toc 9"/>
    <w:basedOn w:val="TOC8"/>
    <w:semiHidden/>
    <w:rsid w:val="004C0B5E"/>
    <w:pPr>
      <w:ind w:left="1418" w:hanging="1418"/>
    </w:pPr>
  </w:style>
  <w:style w:type="paragraph" w:styleId="TOC6">
    <w:name w:val="toc 6"/>
    <w:basedOn w:val="TOC5"/>
    <w:next w:val="Normal"/>
    <w:semiHidden/>
    <w:rsid w:val="004C0B5E"/>
    <w:pPr>
      <w:ind w:left="1985" w:hanging="1985"/>
    </w:pPr>
  </w:style>
  <w:style w:type="paragraph" w:styleId="TOC7">
    <w:name w:val="toc 7"/>
    <w:basedOn w:val="TOC6"/>
    <w:next w:val="Normal"/>
    <w:semiHidden/>
    <w:rsid w:val="004C0B5E"/>
    <w:pPr>
      <w:ind w:left="2268" w:hanging="2268"/>
    </w:pPr>
  </w:style>
  <w:style w:type="paragraph" w:styleId="ListBullet2">
    <w:name w:val="List Bullet 2"/>
    <w:basedOn w:val="ListBullet"/>
    <w:rsid w:val="004C0B5E"/>
    <w:pPr>
      <w:numPr>
        <w:numId w:val="6"/>
      </w:numPr>
    </w:pPr>
  </w:style>
  <w:style w:type="paragraph" w:styleId="ListBullet">
    <w:name w:val="List Bullet"/>
    <w:basedOn w:val="BodyText"/>
    <w:rsid w:val="004C0B5E"/>
    <w:pPr>
      <w:numPr>
        <w:numId w:val="5"/>
      </w:numPr>
    </w:pPr>
  </w:style>
  <w:style w:type="paragraph" w:styleId="ListBullet3">
    <w:name w:val="List Bullet 3"/>
    <w:basedOn w:val="ListBullet2"/>
    <w:rsid w:val="004C0B5E"/>
    <w:pPr>
      <w:numPr>
        <w:numId w:val="7"/>
      </w:numPr>
    </w:pPr>
  </w:style>
  <w:style w:type="paragraph" w:customStyle="1" w:styleId="EQ">
    <w:name w:val="EQ"/>
    <w:basedOn w:val="Normal"/>
    <w:next w:val="Normal"/>
    <w:rsid w:val="004C0B5E"/>
    <w:pPr>
      <w:keepLines/>
      <w:tabs>
        <w:tab w:val="center" w:pos="4536"/>
        <w:tab w:val="right" w:pos="9072"/>
      </w:tabs>
      <w:spacing w:after="180"/>
      <w:jc w:val="left"/>
    </w:pPr>
    <w:rPr>
      <w:noProof/>
      <w:lang w:eastAsia="en-US"/>
    </w:rPr>
  </w:style>
  <w:style w:type="paragraph" w:styleId="List2">
    <w:name w:val="List 2"/>
    <w:basedOn w:val="List"/>
    <w:rsid w:val="004C0B5E"/>
    <w:pPr>
      <w:ind w:left="851"/>
    </w:pPr>
  </w:style>
  <w:style w:type="paragraph" w:styleId="List3">
    <w:name w:val="List 3"/>
    <w:basedOn w:val="List2"/>
    <w:rsid w:val="004C0B5E"/>
    <w:pPr>
      <w:ind w:left="1135"/>
    </w:pPr>
  </w:style>
  <w:style w:type="paragraph" w:styleId="List4">
    <w:name w:val="List 4"/>
    <w:basedOn w:val="List3"/>
    <w:rsid w:val="004C0B5E"/>
    <w:pPr>
      <w:ind w:left="1418"/>
    </w:pPr>
  </w:style>
  <w:style w:type="paragraph" w:styleId="List5">
    <w:name w:val="List 5"/>
    <w:basedOn w:val="List4"/>
    <w:rsid w:val="004C0B5E"/>
    <w:pPr>
      <w:ind w:left="1702"/>
    </w:pPr>
  </w:style>
  <w:style w:type="paragraph" w:customStyle="1" w:styleId="EditorsNote">
    <w:name w:val="Editor's Note"/>
    <w:basedOn w:val="Normal"/>
    <w:rsid w:val="004C0B5E"/>
    <w:pPr>
      <w:keepLines/>
      <w:spacing w:after="180"/>
      <w:ind w:left="1135" w:hanging="851"/>
      <w:jc w:val="left"/>
    </w:pPr>
    <w:rPr>
      <w:color w:val="FF0000"/>
      <w:lang w:eastAsia="en-US"/>
    </w:rPr>
  </w:style>
  <w:style w:type="paragraph" w:styleId="ListBullet4">
    <w:name w:val="List Bullet 4"/>
    <w:basedOn w:val="ListBullet3"/>
    <w:rsid w:val="004C0B5E"/>
    <w:pPr>
      <w:numPr>
        <w:numId w:val="8"/>
      </w:numPr>
    </w:pPr>
  </w:style>
  <w:style w:type="paragraph" w:styleId="ListBullet5">
    <w:name w:val="List Bullet 5"/>
    <w:basedOn w:val="ListBullet4"/>
    <w:rsid w:val="004C0B5E"/>
    <w:pPr>
      <w:numPr>
        <w:numId w:val="4"/>
      </w:numPr>
    </w:pPr>
  </w:style>
  <w:style w:type="paragraph" w:styleId="Footer">
    <w:name w:val="footer"/>
    <w:basedOn w:val="Header"/>
    <w:semiHidden/>
    <w:rsid w:val="004C0B5E"/>
    <w:pPr>
      <w:jc w:val="center"/>
    </w:pPr>
    <w:rPr>
      <w:i/>
      <w:iCs/>
    </w:rPr>
  </w:style>
  <w:style w:type="paragraph" w:customStyle="1" w:styleId="Reference">
    <w:name w:val="Reference"/>
    <w:basedOn w:val="Normal"/>
    <w:rsid w:val="004C0B5E"/>
    <w:pPr>
      <w:numPr>
        <w:numId w:val="2"/>
      </w:numPr>
    </w:pPr>
  </w:style>
  <w:style w:type="paragraph" w:styleId="BalloonText">
    <w:name w:val="Balloon Text"/>
    <w:basedOn w:val="Normal"/>
    <w:semiHidden/>
    <w:rsid w:val="004C0B5E"/>
    <w:rPr>
      <w:rFonts w:ascii="Tahoma" w:hAnsi="Tahoma" w:cs="Tahoma"/>
      <w:sz w:val="16"/>
      <w:szCs w:val="16"/>
    </w:rPr>
  </w:style>
  <w:style w:type="character" w:styleId="PageNumber">
    <w:name w:val="page number"/>
    <w:basedOn w:val="DefaultParagraphFont"/>
    <w:semiHidden/>
    <w:rsid w:val="004C0B5E"/>
  </w:style>
  <w:style w:type="paragraph" w:styleId="BodyText">
    <w:name w:val="Body Text"/>
    <w:basedOn w:val="Normal"/>
    <w:link w:val="BodyTextChar"/>
    <w:rsid w:val="004C0B5E"/>
  </w:style>
  <w:style w:type="character" w:styleId="Hyperlink">
    <w:name w:val="Hyperlink"/>
    <w:uiPriority w:val="99"/>
    <w:rsid w:val="004C0B5E"/>
    <w:rPr>
      <w:color w:val="0000FF"/>
      <w:u w:val="single"/>
      <w:lang w:val="en-GB"/>
    </w:rPr>
  </w:style>
  <w:style w:type="character" w:styleId="FollowedHyperlink">
    <w:name w:val="FollowedHyperlink"/>
    <w:semiHidden/>
    <w:rsid w:val="004C0B5E"/>
    <w:rPr>
      <w:color w:val="FF0000"/>
      <w:u w:val="single"/>
    </w:rPr>
  </w:style>
  <w:style w:type="character" w:styleId="CommentReference">
    <w:name w:val="annotation reference"/>
    <w:semiHidden/>
    <w:rsid w:val="004C0B5E"/>
    <w:rPr>
      <w:sz w:val="16"/>
      <w:szCs w:val="16"/>
    </w:rPr>
  </w:style>
  <w:style w:type="paragraph" w:styleId="CommentText">
    <w:name w:val="annotation text"/>
    <w:basedOn w:val="Normal"/>
    <w:semiHidden/>
    <w:rsid w:val="004C0B5E"/>
  </w:style>
  <w:style w:type="paragraph" w:styleId="CommentSubject">
    <w:name w:val="annotation subject"/>
    <w:basedOn w:val="CommentText"/>
    <w:next w:val="CommentText"/>
    <w:semiHidden/>
    <w:rsid w:val="004C0B5E"/>
    <w:rPr>
      <w:b/>
      <w:bCs/>
    </w:rPr>
  </w:style>
  <w:style w:type="character" w:customStyle="1" w:styleId="Heading1Char">
    <w:name w:val="Heading 1 Char"/>
    <w:link w:val="Heading1"/>
    <w:rsid w:val="004C0B5E"/>
    <w:rPr>
      <w:rFonts w:ascii="Arial" w:hAnsi="Arial" w:cs="Arial"/>
      <w:sz w:val="36"/>
      <w:szCs w:val="36"/>
      <w:lang w:val="en-GB" w:eastAsia="zh-CN"/>
    </w:rPr>
  </w:style>
  <w:style w:type="paragraph" w:customStyle="1" w:styleId="B1">
    <w:name w:val="B1"/>
    <w:basedOn w:val="List"/>
    <w:rsid w:val="004C0B5E"/>
    <w:pPr>
      <w:spacing w:after="180"/>
      <w:jc w:val="left"/>
    </w:pPr>
    <w:rPr>
      <w:lang w:eastAsia="en-US"/>
    </w:rPr>
  </w:style>
  <w:style w:type="paragraph" w:customStyle="1" w:styleId="B2">
    <w:name w:val="B2"/>
    <w:basedOn w:val="List2"/>
    <w:rsid w:val="004C0B5E"/>
    <w:pPr>
      <w:spacing w:after="180"/>
      <w:jc w:val="left"/>
    </w:pPr>
    <w:rPr>
      <w:lang w:eastAsia="en-US"/>
    </w:rPr>
  </w:style>
  <w:style w:type="paragraph" w:customStyle="1" w:styleId="B3">
    <w:name w:val="B3"/>
    <w:basedOn w:val="List3"/>
    <w:rsid w:val="004C0B5E"/>
    <w:pPr>
      <w:spacing w:after="180"/>
      <w:jc w:val="left"/>
    </w:pPr>
    <w:rPr>
      <w:lang w:eastAsia="en-US"/>
    </w:rPr>
  </w:style>
  <w:style w:type="paragraph" w:customStyle="1" w:styleId="B4">
    <w:name w:val="B4"/>
    <w:basedOn w:val="List4"/>
    <w:rsid w:val="004C0B5E"/>
    <w:pPr>
      <w:spacing w:after="180"/>
      <w:jc w:val="left"/>
    </w:pPr>
    <w:rPr>
      <w:lang w:eastAsia="en-US"/>
    </w:rPr>
  </w:style>
  <w:style w:type="paragraph" w:customStyle="1" w:styleId="Proposal">
    <w:name w:val="Proposal"/>
    <w:basedOn w:val="Normal"/>
    <w:rsid w:val="004C0B5E"/>
    <w:pPr>
      <w:numPr>
        <w:numId w:val="3"/>
      </w:numPr>
      <w:tabs>
        <w:tab w:val="clear" w:pos="1304"/>
        <w:tab w:val="left" w:pos="1701"/>
      </w:tabs>
      <w:ind w:left="1701" w:hanging="1701"/>
    </w:pPr>
    <w:rPr>
      <w:b/>
      <w:bCs/>
    </w:rPr>
  </w:style>
  <w:style w:type="character" w:customStyle="1" w:styleId="BodyTextChar">
    <w:name w:val="Body Text Char"/>
    <w:link w:val="BodyText"/>
    <w:rsid w:val="004C0B5E"/>
    <w:rPr>
      <w:rFonts w:ascii="Arial" w:hAnsi="Arial"/>
      <w:lang w:val="en-GB" w:eastAsia="zh-CN"/>
    </w:rPr>
  </w:style>
  <w:style w:type="paragraph" w:customStyle="1" w:styleId="B5">
    <w:name w:val="B5"/>
    <w:basedOn w:val="List5"/>
    <w:rsid w:val="004C0B5E"/>
    <w:pPr>
      <w:spacing w:after="180"/>
      <w:jc w:val="left"/>
    </w:pPr>
    <w:rPr>
      <w:lang w:eastAsia="en-US"/>
    </w:rPr>
  </w:style>
  <w:style w:type="paragraph" w:customStyle="1" w:styleId="EX">
    <w:name w:val="EX"/>
    <w:basedOn w:val="Normal"/>
    <w:rsid w:val="004C0B5E"/>
    <w:pPr>
      <w:keepLines/>
      <w:spacing w:after="180"/>
      <w:ind w:left="1702" w:hanging="1418"/>
      <w:jc w:val="left"/>
    </w:pPr>
    <w:rPr>
      <w:lang w:eastAsia="en-US"/>
    </w:rPr>
  </w:style>
  <w:style w:type="paragraph" w:customStyle="1" w:styleId="EW">
    <w:name w:val="EW"/>
    <w:basedOn w:val="EX"/>
    <w:rsid w:val="004C0B5E"/>
    <w:pPr>
      <w:spacing w:after="0"/>
    </w:pPr>
  </w:style>
  <w:style w:type="paragraph" w:customStyle="1" w:styleId="TAL">
    <w:name w:val="TAL"/>
    <w:basedOn w:val="Normal"/>
    <w:rsid w:val="004C0B5E"/>
    <w:pPr>
      <w:keepNext/>
      <w:keepLines/>
      <w:spacing w:after="0"/>
      <w:jc w:val="left"/>
    </w:pPr>
    <w:rPr>
      <w:sz w:val="18"/>
      <w:lang w:eastAsia="en-US"/>
    </w:rPr>
  </w:style>
  <w:style w:type="paragraph" w:customStyle="1" w:styleId="TAC">
    <w:name w:val="TAC"/>
    <w:basedOn w:val="TAL"/>
    <w:rsid w:val="004C0B5E"/>
    <w:pPr>
      <w:jc w:val="center"/>
    </w:pPr>
  </w:style>
  <w:style w:type="paragraph" w:customStyle="1" w:styleId="TAH">
    <w:name w:val="TAH"/>
    <w:basedOn w:val="TAC"/>
    <w:rsid w:val="004C0B5E"/>
    <w:rPr>
      <w:b/>
    </w:rPr>
  </w:style>
  <w:style w:type="paragraph" w:customStyle="1" w:styleId="TAN">
    <w:name w:val="TAN"/>
    <w:basedOn w:val="TAL"/>
    <w:rsid w:val="004C0B5E"/>
    <w:pPr>
      <w:ind w:left="851" w:hanging="851"/>
    </w:pPr>
  </w:style>
  <w:style w:type="paragraph" w:customStyle="1" w:styleId="TAR">
    <w:name w:val="TAR"/>
    <w:basedOn w:val="TAL"/>
    <w:rsid w:val="004C0B5E"/>
    <w:pPr>
      <w:jc w:val="right"/>
    </w:pPr>
  </w:style>
  <w:style w:type="paragraph" w:customStyle="1" w:styleId="TH">
    <w:name w:val="TH"/>
    <w:basedOn w:val="Normal"/>
    <w:rsid w:val="004C0B5E"/>
    <w:pPr>
      <w:keepNext/>
      <w:keepLines/>
      <w:spacing w:before="60" w:after="180"/>
      <w:jc w:val="center"/>
    </w:pPr>
    <w:rPr>
      <w:b/>
      <w:lang w:eastAsia="en-US"/>
    </w:rPr>
  </w:style>
  <w:style w:type="paragraph" w:customStyle="1" w:styleId="TF">
    <w:name w:val="TF"/>
    <w:basedOn w:val="TH"/>
    <w:rsid w:val="004C0B5E"/>
    <w:pPr>
      <w:keepNext w:val="0"/>
      <w:spacing w:before="0" w:after="240"/>
    </w:pPr>
  </w:style>
  <w:style w:type="paragraph" w:customStyle="1" w:styleId="TT">
    <w:name w:val="TT"/>
    <w:basedOn w:val="Heading1"/>
    <w:next w:val="Normal"/>
    <w:rsid w:val="004C0B5E"/>
    <w:pPr>
      <w:numPr>
        <w:numId w:val="0"/>
      </w:numPr>
      <w:ind w:left="1134" w:hanging="1134"/>
      <w:outlineLvl w:val="9"/>
    </w:pPr>
    <w:rPr>
      <w:rFonts w:cs="Times New Roman"/>
      <w:szCs w:val="20"/>
      <w:lang w:eastAsia="en-US"/>
    </w:rPr>
  </w:style>
  <w:style w:type="paragraph" w:customStyle="1" w:styleId="ZA">
    <w:name w:val="ZA"/>
    <w:rsid w:val="004C0B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C0B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C0B5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4C0B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4C0B5E"/>
  </w:style>
  <w:style w:type="paragraph" w:customStyle="1" w:styleId="ZH">
    <w:name w:val="ZH"/>
    <w:rsid w:val="004C0B5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4C0B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4C0B5E"/>
    <w:pPr>
      <w:framePr w:hRule="auto" w:wrap="notBeside" w:y="852"/>
    </w:pPr>
    <w:rPr>
      <w:i w:val="0"/>
      <w:sz w:val="40"/>
    </w:rPr>
  </w:style>
  <w:style w:type="paragraph" w:customStyle="1" w:styleId="ZU">
    <w:name w:val="ZU"/>
    <w:rsid w:val="004C0B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C0B5E"/>
    <w:pPr>
      <w:framePr w:wrap="notBeside" w:y="16161"/>
    </w:pPr>
  </w:style>
  <w:style w:type="paragraph" w:customStyle="1" w:styleId="FP">
    <w:name w:val="FP"/>
    <w:basedOn w:val="Normal"/>
    <w:rsid w:val="004C0B5E"/>
    <w:pPr>
      <w:spacing w:after="0"/>
      <w:jc w:val="left"/>
    </w:pPr>
    <w:rPr>
      <w:lang w:eastAsia="en-US"/>
    </w:rPr>
  </w:style>
  <w:style w:type="paragraph" w:customStyle="1" w:styleId="Observation">
    <w:name w:val="Observation"/>
    <w:basedOn w:val="Proposal"/>
    <w:qFormat/>
    <w:rsid w:val="004C0B5E"/>
    <w:pPr>
      <w:numPr>
        <w:numId w:val="13"/>
      </w:numPr>
      <w:ind w:left="1701" w:hanging="1701"/>
    </w:pPr>
  </w:style>
  <w:style w:type="paragraph" w:styleId="TableofFigures">
    <w:name w:val="table of figures"/>
    <w:basedOn w:val="Normal"/>
    <w:next w:val="Normal"/>
    <w:uiPriority w:val="99"/>
    <w:rsid w:val="004C0B5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F8551A"/>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F8551A"/>
    <w:rPr>
      <w:rFonts w:ascii="Times New Roman" w:eastAsia="SimSun" w:hAnsi="Times New Roman"/>
      <w:lang w:val="en-GB" w:eastAsia="ja-JP"/>
    </w:rPr>
  </w:style>
  <w:style w:type="paragraph" w:styleId="Revision">
    <w:name w:val="Revision"/>
    <w:hidden/>
    <w:uiPriority w:val="99"/>
    <w:semiHidden/>
    <w:rsid w:val="00FD3F6B"/>
    <w:rPr>
      <w:rFonts w:ascii="Arial" w:hAnsi="Arial"/>
      <w:lang w:val="en-GB" w:eastAsia="zh-CN"/>
    </w:rPr>
  </w:style>
  <w:style w:type="paragraph" w:customStyle="1" w:styleId="Doc-text2">
    <w:name w:val="Doc-text2"/>
    <w:basedOn w:val="Normal"/>
    <w:link w:val="Doc-text2Char"/>
    <w:qFormat/>
    <w:rsid w:val="00E23A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23A0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1124">
      <w:bodyDiv w:val="1"/>
      <w:marLeft w:val="0"/>
      <w:marRight w:val="0"/>
      <w:marTop w:val="0"/>
      <w:marBottom w:val="0"/>
      <w:divBdr>
        <w:top w:val="none" w:sz="0" w:space="0" w:color="auto"/>
        <w:left w:val="none" w:sz="0" w:space="0" w:color="auto"/>
        <w:bottom w:val="none" w:sz="0" w:space="0" w:color="auto"/>
        <w:right w:val="none" w:sz="0" w:space="0" w:color="auto"/>
      </w:divBdr>
    </w:div>
    <w:div w:id="900138054">
      <w:bodyDiv w:val="1"/>
      <w:marLeft w:val="0"/>
      <w:marRight w:val="0"/>
      <w:marTop w:val="0"/>
      <w:marBottom w:val="0"/>
      <w:divBdr>
        <w:top w:val="none" w:sz="0" w:space="0" w:color="auto"/>
        <w:left w:val="none" w:sz="0" w:space="0" w:color="auto"/>
        <w:bottom w:val="none" w:sz="0" w:space="0" w:color="auto"/>
        <w:right w:val="none" w:sz="0" w:space="0" w:color="auto"/>
      </w:divBdr>
    </w:div>
    <w:div w:id="17294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SAQRZK7RPU5V-1-15721</_dlc_DocId>
    <TaxCatchAll xmlns="08b2df90-05d3-4030-90d4-c9feeb4a1cd9">
      <Value>32</Value>
      <Value>31</Value>
      <Value>30</Value>
      <Value>2</Value>
      <Value>1</Value>
    </TaxCatchAll>
    <_dlc_DocIdUrl xmlns="08b2df90-05d3-4030-90d4-c9feeb4a1cd9">
      <Url>https://ericoll.internal.ericsson.com/sites/NSA/_layouts/DocIdRedir.aspx?ID=SAQRZK7RPU5V-1-15721</Url>
      <Description>SAQRZK7RPU5V-1-15721</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DF41E-D69F-4AE5-9C08-7494CC3BC3DC}"/>
</file>

<file path=customXml/itemProps2.xml><?xml version="1.0" encoding="utf-8"?>
<ds:datastoreItem xmlns:ds="http://schemas.openxmlformats.org/officeDocument/2006/customXml" ds:itemID="{74A827C2-1E59-44B2-8F87-F4D5BFF52D76}"/>
</file>

<file path=customXml/itemProps3.xml><?xml version="1.0" encoding="utf-8"?>
<ds:datastoreItem xmlns:ds="http://schemas.openxmlformats.org/officeDocument/2006/customXml" ds:itemID="{7F34267F-B7A9-422E-B8A9-2373DEF3A521}"/>
</file>

<file path=customXml/itemProps4.xml><?xml version="1.0" encoding="utf-8"?>
<ds:datastoreItem xmlns:ds="http://schemas.openxmlformats.org/officeDocument/2006/customXml" ds:itemID="{E8DD9A82-2096-414E-8769-53DB4A52B9BF}"/>
</file>

<file path=customXml/itemProps5.xml><?xml version="1.0" encoding="utf-8"?>
<ds:datastoreItem xmlns:ds="http://schemas.openxmlformats.org/officeDocument/2006/customXml" ds:itemID="{AD7A52DA-0ED6-4688-8D31-3B07449E898A}"/>
</file>

<file path=customXml/itemProps6.xml><?xml version="1.0" encoding="utf-8"?>
<ds:datastoreItem xmlns:ds="http://schemas.openxmlformats.org/officeDocument/2006/customXml" ds:itemID="{0DA0624D-9AE9-4602-B2C2-CBBE6D2E8A22}"/>
</file>

<file path=docProps/app.xml><?xml version="1.0" encoding="utf-8"?>
<Properties xmlns="http://schemas.openxmlformats.org/officeDocument/2006/extended-properties" xmlns:vt="http://schemas.openxmlformats.org/officeDocument/2006/docPropsVTypes">
  <Template>R2-15xxxx - Contribution template.dot</Template>
  <TotalTime>1531</TotalTime>
  <Pages>4</Pages>
  <Words>1483</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35</cp:revision>
  <cp:lastPrinted>2016-09-28T12:59:00Z</cp:lastPrinted>
  <dcterms:created xsi:type="dcterms:W3CDTF">2016-12-08T13:04:00Z</dcterms:created>
  <dcterms:modified xsi:type="dcterms:W3CDTF">2017-01-06T19:01:00Z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2016-09-25T22:00:00Z</vt:filetime>
  </property>
  <property fmtid="{D5CDD505-2E9C-101B-9397-08002B2CF9AE}" pid="3" name="_dlc_DocIdItemGuid">
    <vt:lpwstr>8800daae-7dcd-4b72-9893-d83900009ef9</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